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44467">
      <w:pPr>
        <w:spacing w:line="640" w:lineRule="exact"/>
        <w:jc w:val="center"/>
        <w:rPr>
          <w:rFonts w:hint="eastAsia" w:ascii="方正小标宋简体" w:hAnsi="方正小标宋简体" w:eastAsia="方正小标宋简体" w:cs="方正小标宋简体"/>
          <w:b w:val="0"/>
          <w:bCs w:val="0"/>
          <w:smallCaps w:val="0"/>
          <w:color w:val="auto"/>
          <w:sz w:val="36"/>
          <w:szCs w:val="36"/>
        </w:rPr>
      </w:pPr>
      <w:bookmarkStart w:id="0" w:name="_GoBack"/>
      <w:bookmarkEnd w:id="0"/>
      <w:r>
        <w:rPr>
          <w:rFonts w:hint="eastAsia" w:ascii="方正小标宋简体" w:hAnsi="方正小标宋简体" w:eastAsia="方正小标宋简体" w:cs="方正小标宋简体"/>
          <w:b w:val="0"/>
          <w:bCs w:val="0"/>
          <w:smallCaps w:val="0"/>
          <w:color w:val="auto"/>
          <w:sz w:val="36"/>
          <w:szCs w:val="36"/>
          <w:lang w:val="en-US" w:eastAsia="zh-CN"/>
        </w:rPr>
        <w:t>池州职业技术学院</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u w:val="single"/>
          <w:lang w:val="en-US" w:eastAsia="zh-CN"/>
        </w:rPr>
        <w:t xml:space="preserve"> </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rPr>
        <w:t>项目采购合同</w:t>
      </w:r>
    </w:p>
    <w:p w14:paraId="6D4BEAFB">
      <w:pPr>
        <w:spacing w:line="640" w:lineRule="exact"/>
        <w:jc w:val="center"/>
        <w:rPr>
          <w:rFonts w:hint="eastAsia" w:ascii="宋体" w:hAnsi="宋体" w:eastAsia="宋体" w:cs="宋体"/>
          <w:b w:val="0"/>
          <w:bCs w:val="0"/>
          <w:smallCaps w:val="0"/>
          <w:color w:val="auto"/>
          <w:sz w:val="28"/>
          <w:szCs w:val="28"/>
          <w:u w:val="single"/>
          <w:lang w:val="en-US" w:eastAsia="zh-CN"/>
        </w:rPr>
      </w:pPr>
      <w:r>
        <w:rPr>
          <w:rFonts w:hint="eastAsia" w:ascii="宋体" w:hAnsi="宋体" w:eastAsia="宋体" w:cs="宋体"/>
          <w:b w:val="0"/>
          <w:bCs w:val="0"/>
          <w:smallCaps w:val="0"/>
          <w:color w:val="auto"/>
          <w:sz w:val="28"/>
          <w:szCs w:val="28"/>
          <w:lang w:val="en-US" w:eastAsia="zh-CN"/>
        </w:rPr>
        <w:t xml:space="preserve">            合同编号：</w:t>
      </w:r>
      <w:r>
        <w:rPr>
          <w:rFonts w:hint="eastAsia" w:ascii="宋体" w:hAnsi="宋体" w:eastAsia="宋体" w:cs="宋体"/>
          <w:b w:val="0"/>
          <w:bCs w:val="0"/>
          <w:smallCaps w:val="0"/>
          <w:color w:val="auto"/>
          <w:sz w:val="28"/>
          <w:szCs w:val="28"/>
          <w:u w:val="single"/>
          <w:lang w:val="en-US" w:eastAsia="zh-CN"/>
        </w:rPr>
        <w:t xml:space="preserve">                    </w:t>
      </w:r>
    </w:p>
    <w:p w14:paraId="29BCFBD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p>
    <w:p w14:paraId="26CC361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r>
        <w:rPr>
          <w:rFonts w:hint="eastAsia" w:ascii="Times New Roman" w:hAnsi="Times New Roman" w:cs="宋体"/>
          <w:b/>
          <w:smallCaps w:val="0"/>
          <w:color w:val="auto"/>
          <w:sz w:val="28"/>
          <w:szCs w:val="28"/>
        </w:rPr>
        <w:t xml:space="preserve">甲方： </w:t>
      </w:r>
      <w:r>
        <w:rPr>
          <w:rFonts w:hint="eastAsia" w:ascii="Times New Roman" w:hAnsi="Times New Roman" w:cs="宋体"/>
          <w:bCs/>
          <w:smallCaps w:val="0"/>
          <w:color w:val="auto"/>
          <w:sz w:val="28"/>
          <w:szCs w:val="28"/>
          <w:u w:val="single"/>
        </w:rPr>
        <w:t xml:space="preserve">    </w:t>
      </w:r>
      <w:r>
        <w:rPr>
          <w:rFonts w:hint="eastAsia" w:cs="宋体"/>
          <w:b/>
          <w:smallCaps w:val="0"/>
          <w:color w:val="auto"/>
          <w:sz w:val="28"/>
          <w:szCs w:val="28"/>
          <w:u w:val="single"/>
          <w:lang w:val="en-US" w:eastAsia="zh-CN"/>
        </w:rPr>
        <w:t>池州职业技术学院</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rPr>
        <w:t xml:space="preserve"> </w:t>
      </w:r>
    </w:p>
    <w:p w14:paraId="06B4F8C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Cs/>
          <w:smallCaps w:val="0"/>
          <w:color w:val="auto"/>
          <w:sz w:val="28"/>
          <w:szCs w:val="28"/>
          <w:u w:val="single"/>
        </w:rPr>
      </w:pPr>
      <w:r>
        <w:rPr>
          <w:rFonts w:hint="eastAsia" w:ascii="Times New Roman" w:hAnsi="Times New Roman" w:cs="宋体"/>
          <w:b/>
          <w:smallCaps w:val="0"/>
          <w:color w:val="auto"/>
          <w:sz w:val="28"/>
          <w:szCs w:val="28"/>
        </w:rPr>
        <w:t>乙方：</w:t>
      </w:r>
      <w:r>
        <w:rPr>
          <w:rFonts w:hint="eastAsia" w:cs="宋体"/>
          <w:b/>
          <w:smallCaps w:val="0"/>
          <w:color w:val="auto"/>
          <w:sz w:val="28"/>
          <w:szCs w:val="28"/>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p>
    <w:p w14:paraId="48880B43">
      <w:pPr>
        <w:spacing w:line="400" w:lineRule="exact"/>
        <w:ind w:firstLine="480" w:firstLineChars="200"/>
        <w:jc w:val="both"/>
        <w:rPr>
          <w:rFonts w:hint="eastAsia" w:ascii="Times New Roman" w:hAnsi="Times New Roman" w:eastAsia="宋体" w:cs="宋体"/>
          <w:smallCaps w:val="0"/>
          <w:color w:val="auto"/>
          <w:kern w:val="0"/>
          <w:sz w:val="24"/>
          <w:lang w:eastAsia="zh-CN"/>
        </w:rPr>
      </w:pPr>
      <w:r>
        <w:rPr>
          <w:rFonts w:hint="eastAsia" w:ascii="Times New Roman" w:hAnsi="Times New Roman" w:cs="宋体"/>
          <w:smallCaps w:val="0"/>
          <w:color w:val="auto"/>
          <w:kern w:val="0"/>
          <w:sz w:val="24"/>
        </w:rPr>
        <w:t>根据《中华人民共和国民法典》《中华人民共和国政府采购法》等有关法律法规的规定，甲乙双方</w:t>
      </w:r>
      <w:r>
        <w:rPr>
          <w:rFonts w:hint="eastAsia" w:cs="宋体"/>
          <w:smallCaps w:val="0"/>
          <w:color w:val="auto"/>
          <w:kern w:val="0"/>
          <w:sz w:val="24"/>
          <w:lang w:val="en-US" w:eastAsia="zh-CN"/>
        </w:rPr>
        <w:t>根据</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年</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月</w:t>
      </w:r>
      <w:r>
        <w:rPr>
          <w:rFonts w:hint="eastAsia" w:cs="宋体"/>
          <w:smallCaps w:val="0"/>
          <w:color w:val="auto"/>
          <w:kern w:val="0"/>
          <w:sz w:val="24"/>
          <w:lang w:val="en-US" w:eastAsia="zh-CN"/>
        </w:rPr>
        <w:t>池州职业技术学院</w:t>
      </w:r>
      <w:r>
        <w:rPr>
          <w:rFonts w:hint="eastAsia" w:cs="宋体"/>
          <w:smallCaps w:val="0"/>
          <w:color w:val="auto"/>
          <w:kern w:val="0"/>
          <w:sz w:val="24"/>
          <w:u w:val="single"/>
          <w:lang w:val="en-US" w:eastAsia="zh-CN"/>
        </w:rPr>
        <w:t>( 项目名称</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项目</w:t>
      </w:r>
      <w:r>
        <w:rPr>
          <w:rFonts w:hint="eastAsia" w:cs="宋体"/>
          <w:smallCaps w:val="0"/>
          <w:color w:val="auto"/>
          <w:kern w:val="0"/>
          <w:sz w:val="24"/>
          <w:lang w:eastAsia="zh-CN"/>
        </w:rPr>
        <w:t>（</w:t>
      </w:r>
      <w:r>
        <w:rPr>
          <w:rFonts w:hint="eastAsia" w:cs="宋体"/>
          <w:smallCaps w:val="0"/>
          <w:color w:val="auto"/>
          <w:kern w:val="0"/>
          <w:sz w:val="24"/>
          <w:lang w:val="en-US" w:eastAsia="zh-CN"/>
        </w:rPr>
        <w:t>编号：</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cs="宋体"/>
          <w:smallCaps w:val="0"/>
          <w:color w:val="auto"/>
          <w:kern w:val="0"/>
          <w:sz w:val="24"/>
          <w:lang w:eastAsia="zh-CN"/>
        </w:rPr>
        <w:t>）的</w:t>
      </w:r>
      <w:r>
        <w:rPr>
          <w:rFonts w:hint="eastAsia" w:ascii="Times New Roman" w:hAnsi="Times New Roman" w:cs="宋体"/>
          <w:smallCaps w:val="0"/>
          <w:color w:val="auto"/>
          <w:kern w:val="0"/>
          <w:sz w:val="24"/>
        </w:rPr>
        <w:t>采购结果，按照平等、自愿、公平和诚实信用的</w:t>
      </w:r>
      <w:r>
        <w:rPr>
          <w:rFonts w:hint="eastAsia" w:ascii="Times New Roman" w:hAnsi="Times New Roman" w:eastAsia="宋体" w:cs="宋体"/>
          <w:smallCaps w:val="0"/>
          <w:color w:val="auto"/>
          <w:kern w:val="0"/>
          <w:sz w:val="24"/>
        </w:rPr>
        <w:t>原则，经充分协商</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rPr>
        <w:t>同意就下列条款签订本合同</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lang w:val="en-US" w:eastAsia="zh-CN"/>
        </w:rPr>
        <w:t xml:space="preserve">以兹共同遵守、全面履行。 </w:t>
      </w:r>
    </w:p>
    <w:p w14:paraId="244A579B">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第一条  合同标的</w:t>
      </w:r>
    </w:p>
    <w:p w14:paraId="008AA344">
      <w:pPr>
        <w:spacing w:line="400" w:lineRule="exact"/>
        <w:ind w:firstLine="482" w:firstLineChars="200"/>
        <w:jc w:val="both"/>
        <w:rPr>
          <w:rFonts w:hint="eastAsia" w:asciiTheme="minorEastAsia" w:hAnsiTheme="minorEastAsia" w:eastAsiaTheme="minorEastAsia" w:cstheme="minorEastAsia"/>
          <w:b/>
          <w:bCs w:val="0"/>
          <w:smallCaps w:val="0"/>
          <w:color w:val="auto"/>
          <w:sz w:val="24"/>
          <w:lang w:eastAsia="zh-CN"/>
        </w:rPr>
      </w:pPr>
      <w:r>
        <w:rPr>
          <w:rFonts w:hint="eastAsia" w:asciiTheme="minorEastAsia" w:hAnsiTheme="minorEastAsia" w:eastAsiaTheme="minorEastAsia" w:cstheme="minorEastAsia"/>
          <w:b/>
          <w:bCs w:val="0"/>
          <w:smallCaps w:val="0"/>
          <w:color w:val="auto"/>
          <w:sz w:val="24"/>
        </w:rPr>
        <w:t>1．合同标的</w:t>
      </w:r>
      <w:r>
        <w:rPr>
          <w:rFonts w:hint="eastAsia" w:asciiTheme="minorEastAsia" w:hAnsiTheme="minorEastAsia" w:eastAsiaTheme="minorEastAsia" w:cstheme="minorEastAsia"/>
          <w:b/>
          <w:bCs w:val="0"/>
          <w:smallCaps w:val="0"/>
          <w:color w:val="auto"/>
          <w:sz w:val="24"/>
          <w:lang w:val="en-US" w:eastAsia="zh-CN"/>
        </w:rPr>
        <w:t>及金额（如内容过多可另作附件）</w:t>
      </w:r>
    </w:p>
    <w:tbl>
      <w:tblPr>
        <w:tblStyle w:val="11"/>
        <w:tblW w:w="8786" w:type="dxa"/>
        <w:jc w:val="center"/>
        <w:tblLayout w:type="fixed"/>
        <w:tblCellMar>
          <w:top w:w="0" w:type="dxa"/>
          <w:left w:w="108" w:type="dxa"/>
          <w:bottom w:w="0" w:type="dxa"/>
          <w:right w:w="108" w:type="dxa"/>
        </w:tblCellMar>
      </w:tblPr>
      <w:tblGrid>
        <w:gridCol w:w="1831"/>
        <w:gridCol w:w="1984"/>
        <w:gridCol w:w="1135"/>
        <w:gridCol w:w="874"/>
        <w:gridCol w:w="818"/>
        <w:gridCol w:w="991"/>
        <w:gridCol w:w="1153"/>
      </w:tblGrid>
      <w:tr w14:paraId="30A40B8F">
        <w:tblPrEx>
          <w:tblCellMar>
            <w:top w:w="0" w:type="dxa"/>
            <w:left w:w="108" w:type="dxa"/>
            <w:bottom w:w="0" w:type="dxa"/>
            <w:right w:w="108" w:type="dxa"/>
          </w:tblCellMar>
        </w:tblPrEx>
        <w:trPr>
          <w:trHeight w:val="447" w:hRule="atLeast"/>
          <w:jc w:val="center"/>
        </w:trPr>
        <w:tc>
          <w:tcPr>
            <w:tcW w:w="1831" w:type="dxa"/>
            <w:tcBorders>
              <w:top w:val="single" w:color="auto" w:sz="8" w:space="0"/>
              <w:left w:val="single" w:color="auto" w:sz="8" w:space="0"/>
              <w:bottom w:val="single" w:color="auto" w:sz="8" w:space="0"/>
              <w:right w:val="single" w:color="auto" w:sz="8" w:space="0"/>
            </w:tcBorders>
            <w:noWrap w:val="0"/>
            <w:vAlign w:val="center"/>
          </w:tcPr>
          <w:p w14:paraId="27B9217E">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货物名称</w:t>
            </w:r>
          </w:p>
        </w:tc>
        <w:tc>
          <w:tcPr>
            <w:tcW w:w="1984" w:type="dxa"/>
            <w:tcBorders>
              <w:top w:val="single" w:color="auto" w:sz="8" w:space="0"/>
              <w:left w:val="nil"/>
              <w:bottom w:val="single" w:color="auto" w:sz="8" w:space="0"/>
              <w:right w:val="single" w:color="auto" w:sz="4" w:space="0"/>
            </w:tcBorders>
            <w:noWrap w:val="0"/>
            <w:vAlign w:val="center"/>
          </w:tcPr>
          <w:p w14:paraId="019F45D3">
            <w:pPr>
              <w:widowControl/>
              <w:jc w:val="both"/>
              <w:rPr>
                <w:rFonts w:hint="eastAsia" w:ascii="Times New Roman" w:hAnsi="Times New Roman" w:cs="宋体"/>
                <w:b/>
                <w:bCs/>
                <w:smallCaps w:val="0"/>
                <w:color w:val="auto"/>
                <w:kern w:val="0"/>
                <w:sz w:val="21"/>
                <w:szCs w:val="21"/>
              </w:rPr>
            </w:pPr>
            <w:r>
              <w:rPr>
                <w:rFonts w:hint="eastAsia" w:cs="宋体"/>
                <w:b/>
                <w:bCs/>
                <w:smallCaps w:val="0"/>
                <w:color w:val="auto"/>
                <w:kern w:val="0"/>
                <w:sz w:val="21"/>
                <w:szCs w:val="21"/>
                <w:lang w:val="en-US" w:eastAsia="zh-CN"/>
              </w:rPr>
              <w:t>品牌及</w:t>
            </w:r>
            <w:r>
              <w:rPr>
                <w:rFonts w:hint="eastAsia" w:ascii="Times New Roman" w:hAnsi="Times New Roman" w:cs="宋体"/>
                <w:b/>
                <w:bCs/>
                <w:smallCaps w:val="0"/>
                <w:color w:val="auto"/>
                <w:kern w:val="0"/>
                <w:sz w:val="21"/>
                <w:szCs w:val="21"/>
              </w:rPr>
              <w:t>规格型号</w:t>
            </w:r>
          </w:p>
        </w:tc>
        <w:tc>
          <w:tcPr>
            <w:tcW w:w="1135" w:type="dxa"/>
            <w:tcBorders>
              <w:top w:val="single" w:color="auto" w:sz="8" w:space="0"/>
              <w:left w:val="single" w:color="auto" w:sz="4" w:space="0"/>
              <w:bottom w:val="single" w:color="auto" w:sz="8" w:space="0"/>
              <w:right w:val="single" w:color="auto" w:sz="8" w:space="0"/>
            </w:tcBorders>
            <w:noWrap w:val="0"/>
            <w:vAlign w:val="center"/>
          </w:tcPr>
          <w:p w14:paraId="6F7C65BE">
            <w:pPr>
              <w:widowControl/>
              <w:jc w:val="both"/>
              <w:rPr>
                <w:rFonts w:hint="eastAsia" w:ascii="Times New Roman" w:hAnsi="Times New Roman" w:cs="宋体"/>
                <w:b/>
                <w:bCs/>
                <w:smallCaps w:val="0"/>
                <w:color w:val="auto"/>
                <w:kern w:val="0"/>
                <w:sz w:val="21"/>
                <w:szCs w:val="21"/>
              </w:rPr>
            </w:pPr>
            <w:r>
              <w:rPr>
                <w:rFonts w:hint="eastAsia" w:cs="宋体"/>
                <w:b/>
                <w:bCs/>
                <w:smallCaps w:val="0"/>
                <w:color w:val="auto"/>
                <w:kern w:val="0"/>
                <w:sz w:val="21"/>
                <w:szCs w:val="21"/>
                <w:lang w:val="en-US" w:eastAsia="zh-CN"/>
              </w:rPr>
              <w:t>主要</w:t>
            </w:r>
            <w:r>
              <w:rPr>
                <w:rFonts w:hint="eastAsia" w:ascii="Times New Roman" w:hAnsi="Times New Roman" w:cs="宋体"/>
                <w:b/>
                <w:bCs/>
                <w:smallCaps w:val="0"/>
                <w:color w:val="auto"/>
                <w:kern w:val="0"/>
                <w:sz w:val="21"/>
                <w:szCs w:val="21"/>
              </w:rPr>
              <w:t>参数</w:t>
            </w:r>
          </w:p>
        </w:tc>
        <w:tc>
          <w:tcPr>
            <w:tcW w:w="874" w:type="dxa"/>
            <w:tcBorders>
              <w:top w:val="single" w:color="auto" w:sz="8" w:space="0"/>
              <w:left w:val="nil"/>
              <w:bottom w:val="single" w:color="auto" w:sz="8" w:space="0"/>
              <w:right w:val="single" w:color="auto" w:sz="8" w:space="0"/>
            </w:tcBorders>
            <w:noWrap w:val="0"/>
            <w:vAlign w:val="center"/>
          </w:tcPr>
          <w:p w14:paraId="3E687D52">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计量</w:t>
            </w:r>
          </w:p>
          <w:p w14:paraId="4BE74808">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单位</w:t>
            </w:r>
          </w:p>
        </w:tc>
        <w:tc>
          <w:tcPr>
            <w:tcW w:w="818" w:type="dxa"/>
            <w:tcBorders>
              <w:top w:val="single" w:color="auto" w:sz="8" w:space="0"/>
              <w:left w:val="nil"/>
              <w:bottom w:val="single" w:color="auto" w:sz="8" w:space="0"/>
              <w:right w:val="single" w:color="auto" w:sz="8" w:space="0"/>
            </w:tcBorders>
            <w:noWrap w:val="0"/>
            <w:vAlign w:val="center"/>
          </w:tcPr>
          <w:p w14:paraId="153031AD">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数量</w:t>
            </w:r>
          </w:p>
        </w:tc>
        <w:tc>
          <w:tcPr>
            <w:tcW w:w="991" w:type="dxa"/>
            <w:tcBorders>
              <w:top w:val="single" w:color="auto" w:sz="8" w:space="0"/>
              <w:left w:val="nil"/>
              <w:bottom w:val="single" w:color="auto" w:sz="8" w:space="0"/>
              <w:right w:val="single" w:color="auto" w:sz="8" w:space="0"/>
            </w:tcBorders>
            <w:noWrap w:val="0"/>
            <w:vAlign w:val="center"/>
          </w:tcPr>
          <w:p w14:paraId="1862BDEA">
            <w:pPr>
              <w:widowControl/>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单价(元)</w:t>
            </w:r>
          </w:p>
        </w:tc>
        <w:tc>
          <w:tcPr>
            <w:tcW w:w="1153" w:type="dxa"/>
            <w:tcBorders>
              <w:top w:val="single" w:color="auto" w:sz="8" w:space="0"/>
              <w:left w:val="nil"/>
              <w:bottom w:val="single" w:color="auto" w:sz="8" w:space="0"/>
              <w:right w:val="single" w:color="auto" w:sz="8" w:space="0"/>
            </w:tcBorders>
            <w:noWrap w:val="0"/>
            <w:vAlign w:val="center"/>
          </w:tcPr>
          <w:p w14:paraId="48F632EC">
            <w:pPr>
              <w:jc w:val="both"/>
              <w:rPr>
                <w:rFonts w:hint="eastAsia" w:ascii="Times New Roman" w:hAnsi="Times New Roman" w:cs="宋体"/>
                <w:b/>
                <w:bCs/>
                <w:smallCaps w:val="0"/>
                <w:color w:val="auto"/>
                <w:kern w:val="0"/>
                <w:sz w:val="21"/>
                <w:szCs w:val="21"/>
              </w:rPr>
            </w:pPr>
            <w:r>
              <w:rPr>
                <w:rFonts w:hint="eastAsia" w:ascii="Times New Roman" w:hAnsi="Times New Roman" w:cs="宋体"/>
                <w:b/>
                <w:bCs/>
                <w:smallCaps w:val="0"/>
                <w:color w:val="auto"/>
                <w:kern w:val="0"/>
                <w:sz w:val="21"/>
                <w:szCs w:val="21"/>
              </w:rPr>
              <w:t>总价(元)</w:t>
            </w:r>
          </w:p>
        </w:tc>
      </w:tr>
      <w:tr w14:paraId="0FBF26CE">
        <w:tblPrEx>
          <w:tblCellMar>
            <w:top w:w="0" w:type="dxa"/>
            <w:left w:w="108" w:type="dxa"/>
            <w:bottom w:w="0" w:type="dxa"/>
            <w:right w:w="108" w:type="dxa"/>
          </w:tblCellMar>
        </w:tblPrEx>
        <w:trPr>
          <w:trHeight w:val="480" w:hRule="atLeast"/>
          <w:jc w:val="center"/>
        </w:trPr>
        <w:tc>
          <w:tcPr>
            <w:tcW w:w="1831" w:type="dxa"/>
            <w:tcBorders>
              <w:top w:val="nil"/>
              <w:left w:val="single" w:color="auto" w:sz="8" w:space="0"/>
              <w:bottom w:val="single" w:color="auto" w:sz="8" w:space="0"/>
              <w:right w:val="single" w:color="auto" w:sz="8" w:space="0"/>
            </w:tcBorders>
            <w:noWrap w:val="0"/>
            <w:vAlign w:val="center"/>
          </w:tcPr>
          <w:p w14:paraId="71F21E1A">
            <w:pPr>
              <w:jc w:val="both"/>
              <w:rPr>
                <w:rFonts w:hint="eastAsia" w:ascii="Times New Roman" w:hAnsi="Times New Roman" w:cs="宋体"/>
                <w:smallCaps w:val="0"/>
                <w:color w:val="auto"/>
                <w:kern w:val="0"/>
                <w:sz w:val="21"/>
                <w:szCs w:val="21"/>
              </w:rPr>
            </w:pPr>
          </w:p>
        </w:tc>
        <w:tc>
          <w:tcPr>
            <w:tcW w:w="1984" w:type="dxa"/>
            <w:tcBorders>
              <w:top w:val="nil"/>
              <w:left w:val="nil"/>
              <w:bottom w:val="single" w:color="auto" w:sz="8" w:space="0"/>
              <w:right w:val="single" w:color="auto" w:sz="4" w:space="0"/>
            </w:tcBorders>
            <w:noWrap w:val="0"/>
            <w:vAlign w:val="center"/>
          </w:tcPr>
          <w:p w14:paraId="2DB1EBB4">
            <w:pPr>
              <w:jc w:val="both"/>
              <w:rPr>
                <w:rFonts w:hint="eastAsia" w:ascii="Times New Roman" w:hAnsi="Times New Roman" w:cs="宋体"/>
                <w:smallCaps w:val="0"/>
                <w:color w:val="auto"/>
                <w:kern w:val="0"/>
                <w:sz w:val="21"/>
                <w:szCs w:val="21"/>
                <w:shd w:val="clear" w:color="FFFFFF" w:fill="D9D9D9"/>
              </w:rPr>
            </w:pPr>
          </w:p>
        </w:tc>
        <w:tc>
          <w:tcPr>
            <w:tcW w:w="1135" w:type="dxa"/>
            <w:tcBorders>
              <w:top w:val="nil"/>
              <w:left w:val="nil"/>
              <w:bottom w:val="single" w:color="auto" w:sz="8" w:space="0"/>
              <w:right w:val="single" w:color="auto" w:sz="4" w:space="0"/>
            </w:tcBorders>
            <w:noWrap w:val="0"/>
            <w:vAlign w:val="center"/>
          </w:tcPr>
          <w:p w14:paraId="6847E36C">
            <w:pPr>
              <w:jc w:val="both"/>
              <w:rPr>
                <w:rFonts w:hint="eastAsia" w:ascii="Times New Roman" w:hAnsi="Times New Roman" w:cs="宋体"/>
                <w:smallCaps w:val="0"/>
                <w:color w:val="auto"/>
                <w:kern w:val="0"/>
                <w:sz w:val="21"/>
                <w:szCs w:val="21"/>
                <w:shd w:val="clear" w:color="FFFFFF" w:fill="D9D9D9"/>
              </w:rPr>
            </w:pPr>
          </w:p>
        </w:tc>
        <w:tc>
          <w:tcPr>
            <w:tcW w:w="874" w:type="dxa"/>
            <w:tcBorders>
              <w:top w:val="nil"/>
              <w:left w:val="single" w:color="auto" w:sz="4" w:space="0"/>
              <w:bottom w:val="single" w:color="auto" w:sz="8" w:space="0"/>
              <w:right w:val="single" w:color="auto" w:sz="8" w:space="0"/>
            </w:tcBorders>
            <w:noWrap w:val="0"/>
            <w:vAlign w:val="center"/>
          </w:tcPr>
          <w:p w14:paraId="66E7885F">
            <w:pPr>
              <w:jc w:val="both"/>
              <w:rPr>
                <w:rFonts w:hint="eastAsia" w:ascii="Times New Roman" w:hAnsi="Times New Roman" w:cs="宋体"/>
                <w:smallCaps w:val="0"/>
                <w:color w:val="auto"/>
                <w:kern w:val="0"/>
                <w:sz w:val="21"/>
                <w:szCs w:val="21"/>
              </w:rPr>
            </w:pPr>
          </w:p>
        </w:tc>
        <w:tc>
          <w:tcPr>
            <w:tcW w:w="818" w:type="dxa"/>
            <w:tcBorders>
              <w:top w:val="single" w:color="auto" w:sz="8" w:space="0"/>
              <w:left w:val="nil"/>
              <w:bottom w:val="single" w:color="auto" w:sz="8" w:space="0"/>
              <w:right w:val="single" w:color="auto" w:sz="8" w:space="0"/>
            </w:tcBorders>
            <w:noWrap w:val="0"/>
            <w:vAlign w:val="center"/>
          </w:tcPr>
          <w:p w14:paraId="73B6CC5E">
            <w:pPr>
              <w:jc w:val="both"/>
              <w:rPr>
                <w:rFonts w:hint="eastAsia" w:ascii="Times New Roman" w:hAnsi="Times New Roman" w:cs="宋体"/>
                <w:smallCaps w:val="0"/>
                <w:color w:val="auto"/>
                <w:kern w:val="0"/>
                <w:sz w:val="21"/>
                <w:szCs w:val="21"/>
              </w:rPr>
            </w:pPr>
          </w:p>
        </w:tc>
        <w:tc>
          <w:tcPr>
            <w:tcW w:w="991" w:type="dxa"/>
            <w:tcBorders>
              <w:top w:val="single" w:color="auto" w:sz="8" w:space="0"/>
              <w:left w:val="nil"/>
              <w:bottom w:val="single" w:color="auto" w:sz="8" w:space="0"/>
              <w:right w:val="single" w:color="auto" w:sz="8" w:space="0"/>
            </w:tcBorders>
            <w:noWrap w:val="0"/>
            <w:vAlign w:val="center"/>
          </w:tcPr>
          <w:p w14:paraId="2F3853CA">
            <w:pPr>
              <w:jc w:val="both"/>
              <w:rPr>
                <w:rFonts w:hint="eastAsia" w:ascii="Times New Roman" w:hAnsi="Times New Roman" w:cs="宋体"/>
                <w:smallCaps w:val="0"/>
                <w:color w:val="auto"/>
                <w:kern w:val="0"/>
                <w:sz w:val="21"/>
                <w:szCs w:val="21"/>
              </w:rPr>
            </w:pPr>
          </w:p>
        </w:tc>
        <w:tc>
          <w:tcPr>
            <w:tcW w:w="1153" w:type="dxa"/>
            <w:tcBorders>
              <w:top w:val="single" w:color="auto" w:sz="8" w:space="0"/>
              <w:left w:val="nil"/>
              <w:bottom w:val="single" w:color="auto" w:sz="8" w:space="0"/>
              <w:right w:val="single" w:color="auto" w:sz="8" w:space="0"/>
            </w:tcBorders>
            <w:noWrap w:val="0"/>
            <w:vAlign w:val="center"/>
          </w:tcPr>
          <w:p w14:paraId="61D9C6D2">
            <w:pPr>
              <w:jc w:val="both"/>
              <w:rPr>
                <w:rFonts w:hint="eastAsia" w:ascii="Times New Roman" w:hAnsi="Times New Roman" w:cs="宋体"/>
                <w:smallCaps w:val="0"/>
                <w:color w:val="auto"/>
                <w:kern w:val="0"/>
                <w:sz w:val="21"/>
                <w:szCs w:val="21"/>
              </w:rPr>
            </w:pPr>
          </w:p>
        </w:tc>
      </w:tr>
      <w:tr w14:paraId="75238360">
        <w:tblPrEx>
          <w:tblCellMar>
            <w:top w:w="0" w:type="dxa"/>
            <w:left w:w="108" w:type="dxa"/>
            <w:bottom w:w="0" w:type="dxa"/>
            <w:right w:w="108" w:type="dxa"/>
          </w:tblCellMar>
        </w:tblPrEx>
        <w:trPr>
          <w:trHeight w:val="454" w:hRule="atLeast"/>
          <w:jc w:val="center"/>
        </w:trPr>
        <w:tc>
          <w:tcPr>
            <w:tcW w:w="1831" w:type="dxa"/>
            <w:tcBorders>
              <w:top w:val="nil"/>
              <w:left w:val="single" w:color="auto" w:sz="8" w:space="0"/>
              <w:bottom w:val="single" w:color="auto" w:sz="8" w:space="0"/>
              <w:right w:val="single" w:color="auto" w:sz="8" w:space="0"/>
            </w:tcBorders>
            <w:noWrap w:val="0"/>
            <w:vAlign w:val="center"/>
          </w:tcPr>
          <w:p w14:paraId="3693119B">
            <w:pPr>
              <w:jc w:val="both"/>
              <w:rPr>
                <w:rFonts w:hint="eastAsia" w:ascii="Times New Roman" w:hAnsi="Times New Roman" w:cs="宋体"/>
                <w:smallCaps w:val="0"/>
                <w:color w:val="auto"/>
                <w:kern w:val="0"/>
                <w:sz w:val="21"/>
                <w:szCs w:val="21"/>
              </w:rPr>
            </w:pPr>
          </w:p>
        </w:tc>
        <w:tc>
          <w:tcPr>
            <w:tcW w:w="1984" w:type="dxa"/>
            <w:tcBorders>
              <w:top w:val="nil"/>
              <w:left w:val="nil"/>
              <w:bottom w:val="single" w:color="auto" w:sz="8" w:space="0"/>
              <w:right w:val="single" w:color="auto" w:sz="4" w:space="0"/>
            </w:tcBorders>
            <w:noWrap w:val="0"/>
            <w:vAlign w:val="center"/>
          </w:tcPr>
          <w:p w14:paraId="61F2A189">
            <w:pPr>
              <w:jc w:val="both"/>
              <w:rPr>
                <w:rFonts w:hint="eastAsia" w:ascii="Times New Roman" w:hAnsi="Times New Roman" w:cs="宋体"/>
                <w:smallCaps w:val="0"/>
                <w:color w:val="auto"/>
                <w:kern w:val="0"/>
                <w:sz w:val="21"/>
                <w:szCs w:val="21"/>
              </w:rPr>
            </w:pPr>
          </w:p>
        </w:tc>
        <w:tc>
          <w:tcPr>
            <w:tcW w:w="1135" w:type="dxa"/>
            <w:tcBorders>
              <w:top w:val="nil"/>
              <w:left w:val="nil"/>
              <w:bottom w:val="single" w:color="auto" w:sz="8" w:space="0"/>
              <w:right w:val="single" w:color="auto" w:sz="4" w:space="0"/>
            </w:tcBorders>
            <w:noWrap w:val="0"/>
            <w:vAlign w:val="center"/>
          </w:tcPr>
          <w:p w14:paraId="7B63E4D4">
            <w:pPr>
              <w:jc w:val="both"/>
              <w:rPr>
                <w:rFonts w:hint="eastAsia" w:ascii="Times New Roman" w:hAnsi="Times New Roman" w:cs="宋体"/>
                <w:smallCaps w:val="0"/>
                <w:color w:val="auto"/>
                <w:kern w:val="0"/>
                <w:sz w:val="21"/>
                <w:szCs w:val="21"/>
              </w:rPr>
            </w:pPr>
          </w:p>
        </w:tc>
        <w:tc>
          <w:tcPr>
            <w:tcW w:w="874" w:type="dxa"/>
            <w:tcBorders>
              <w:top w:val="nil"/>
              <w:left w:val="single" w:color="auto" w:sz="4" w:space="0"/>
              <w:bottom w:val="single" w:color="auto" w:sz="8" w:space="0"/>
              <w:right w:val="single" w:color="auto" w:sz="8" w:space="0"/>
            </w:tcBorders>
            <w:noWrap w:val="0"/>
            <w:vAlign w:val="center"/>
          </w:tcPr>
          <w:p w14:paraId="37F461C6">
            <w:pPr>
              <w:jc w:val="both"/>
              <w:rPr>
                <w:rFonts w:hint="eastAsia" w:ascii="Times New Roman" w:hAnsi="Times New Roman" w:cs="宋体"/>
                <w:smallCaps w:val="0"/>
                <w:color w:val="auto"/>
                <w:kern w:val="0"/>
                <w:sz w:val="21"/>
                <w:szCs w:val="21"/>
              </w:rPr>
            </w:pPr>
          </w:p>
        </w:tc>
        <w:tc>
          <w:tcPr>
            <w:tcW w:w="818" w:type="dxa"/>
            <w:tcBorders>
              <w:top w:val="single" w:color="auto" w:sz="8" w:space="0"/>
              <w:left w:val="nil"/>
              <w:bottom w:val="single" w:color="auto" w:sz="8" w:space="0"/>
              <w:right w:val="single" w:color="auto" w:sz="8" w:space="0"/>
            </w:tcBorders>
            <w:noWrap w:val="0"/>
            <w:vAlign w:val="center"/>
          </w:tcPr>
          <w:p w14:paraId="7A0F3964">
            <w:pPr>
              <w:jc w:val="both"/>
              <w:rPr>
                <w:rFonts w:hint="eastAsia" w:ascii="Times New Roman" w:hAnsi="Times New Roman" w:cs="宋体"/>
                <w:smallCaps w:val="0"/>
                <w:color w:val="auto"/>
                <w:kern w:val="0"/>
                <w:sz w:val="21"/>
                <w:szCs w:val="21"/>
              </w:rPr>
            </w:pPr>
          </w:p>
        </w:tc>
        <w:tc>
          <w:tcPr>
            <w:tcW w:w="991" w:type="dxa"/>
            <w:tcBorders>
              <w:top w:val="single" w:color="auto" w:sz="8" w:space="0"/>
              <w:left w:val="nil"/>
              <w:bottom w:val="single" w:color="auto" w:sz="8" w:space="0"/>
              <w:right w:val="single" w:color="auto" w:sz="8" w:space="0"/>
            </w:tcBorders>
            <w:noWrap w:val="0"/>
            <w:vAlign w:val="center"/>
          </w:tcPr>
          <w:p w14:paraId="4294D872">
            <w:pPr>
              <w:jc w:val="both"/>
              <w:rPr>
                <w:rFonts w:hint="eastAsia" w:ascii="Times New Roman" w:hAnsi="Times New Roman" w:cs="宋体"/>
                <w:smallCaps w:val="0"/>
                <w:color w:val="auto"/>
                <w:kern w:val="0"/>
                <w:sz w:val="21"/>
                <w:szCs w:val="21"/>
              </w:rPr>
            </w:pPr>
          </w:p>
        </w:tc>
        <w:tc>
          <w:tcPr>
            <w:tcW w:w="1153" w:type="dxa"/>
            <w:tcBorders>
              <w:top w:val="single" w:color="auto" w:sz="8" w:space="0"/>
              <w:left w:val="nil"/>
              <w:bottom w:val="single" w:color="auto" w:sz="8" w:space="0"/>
              <w:right w:val="single" w:color="auto" w:sz="8" w:space="0"/>
            </w:tcBorders>
            <w:noWrap w:val="0"/>
            <w:vAlign w:val="center"/>
          </w:tcPr>
          <w:p w14:paraId="5487ED5A">
            <w:pPr>
              <w:jc w:val="both"/>
              <w:rPr>
                <w:rFonts w:hint="eastAsia" w:ascii="Times New Roman" w:hAnsi="Times New Roman" w:cs="宋体"/>
                <w:smallCaps w:val="0"/>
                <w:color w:val="auto"/>
                <w:kern w:val="0"/>
                <w:sz w:val="21"/>
                <w:szCs w:val="21"/>
              </w:rPr>
            </w:pPr>
          </w:p>
        </w:tc>
      </w:tr>
      <w:tr w14:paraId="67332D0F">
        <w:tblPrEx>
          <w:tblCellMar>
            <w:top w:w="0" w:type="dxa"/>
            <w:left w:w="108" w:type="dxa"/>
            <w:bottom w:w="0" w:type="dxa"/>
            <w:right w:w="108" w:type="dxa"/>
          </w:tblCellMar>
        </w:tblPrEx>
        <w:trPr>
          <w:trHeight w:val="454" w:hRule="atLeast"/>
          <w:jc w:val="center"/>
        </w:trPr>
        <w:tc>
          <w:tcPr>
            <w:tcW w:w="1831" w:type="dxa"/>
            <w:tcBorders>
              <w:top w:val="nil"/>
              <w:left w:val="single" w:color="auto" w:sz="8" w:space="0"/>
              <w:bottom w:val="single" w:color="auto" w:sz="8" w:space="0"/>
              <w:right w:val="single" w:color="auto" w:sz="8" w:space="0"/>
            </w:tcBorders>
            <w:noWrap w:val="0"/>
            <w:vAlign w:val="center"/>
          </w:tcPr>
          <w:p w14:paraId="039AC8A4">
            <w:pPr>
              <w:jc w:val="both"/>
              <w:rPr>
                <w:rFonts w:hint="eastAsia" w:ascii="Times New Roman" w:hAnsi="Times New Roman" w:cs="宋体"/>
                <w:smallCaps w:val="0"/>
                <w:color w:val="auto"/>
                <w:kern w:val="0"/>
                <w:sz w:val="21"/>
                <w:szCs w:val="21"/>
              </w:rPr>
            </w:pPr>
          </w:p>
        </w:tc>
        <w:tc>
          <w:tcPr>
            <w:tcW w:w="1984" w:type="dxa"/>
            <w:tcBorders>
              <w:top w:val="nil"/>
              <w:left w:val="nil"/>
              <w:bottom w:val="single" w:color="auto" w:sz="8" w:space="0"/>
              <w:right w:val="single" w:color="auto" w:sz="4" w:space="0"/>
            </w:tcBorders>
            <w:noWrap w:val="0"/>
            <w:vAlign w:val="center"/>
          </w:tcPr>
          <w:p w14:paraId="15CAD73E">
            <w:pPr>
              <w:jc w:val="both"/>
              <w:rPr>
                <w:rFonts w:hint="eastAsia" w:ascii="Times New Roman" w:hAnsi="Times New Roman" w:cs="宋体"/>
                <w:smallCaps w:val="0"/>
                <w:color w:val="auto"/>
                <w:kern w:val="0"/>
                <w:sz w:val="21"/>
                <w:szCs w:val="21"/>
              </w:rPr>
            </w:pPr>
          </w:p>
        </w:tc>
        <w:tc>
          <w:tcPr>
            <w:tcW w:w="1135" w:type="dxa"/>
            <w:tcBorders>
              <w:top w:val="nil"/>
              <w:left w:val="nil"/>
              <w:bottom w:val="single" w:color="auto" w:sz="8" w:space="0"/>
              <w:right w:val="single" w:color="auto" w:sz="4" w:space="0"/>
            </w:tcBorders>
            <w:noWrap w:val="0"/>
            <w:vAlign w:val="center"/>
          </w:tcPr>
          <w:p w14:paraId="4B8B6425">
            <w:pPr>
              <w:jc w:val="both"/>
              <w:rPr>
                <w:rFonts w:hint="eastAsia" w:ascii="Times New Roman" w:hAnsi="Times New Roman" w:cs="宋体"/>
                <w:smallCaps w:val="0"/>
                <w:color w:val="auto"/>
                <w:kern w:val="0"/>
                <w:sz w:val="21"/>
                <w:szCs w:val="21"/>
              </w:rPr>
            </w:pPr>
          </w:p>
        </w:tc>
        <w:tc>
          <w:tcPr>
            <w:tcW w:w="874" w:type="dxa"/>
            <w:tcBorders>
              <w:top w:val="nil"/>
              <w:left w:val="single" w:color="auto" w:sz="4" w:space="0"/>
              <w:bottom w:val="single" w:color="auto" w:sz="8" w:space="0"/>
              <w:right w:val="single" w:color="auto" w:sz="8" w:space="0"/>
            </w:tcBorders>
            <w:noWrap w:val="0"/>
            <w:vAlign w:val="center"/>
          </w:tcPr>
          <w:p w14:paraId="744EE501">
            <w:pPr>
              <w:jc w:val="both"/>
              <w:rPr>
                <w:rFonts w:hint="eastAsia" w:ascii="Times New Roman" w:hAnsi="Times New Roman" w:cs="宋体"/>
                <w:smallCaps w:val="0"/>
                <w:color w:val="auto"/>
                <w:kern w:val="0"/>
                <w:sz w:val="21"/>
                <w:szCs w:val="21"/>
              </w:rPr>
            </w:pPr>
          </w:p>
        </w:tc>
        <w:tc>
          <w:tcPr>
            <w:tcW w:w="818" w:type="dxa"/>
            <w:tcBorders>
              <w:top w:val="single" w:color="auto" w:sz="8" w:space="0"/>
              <w:left w:val="nil"/>
              <w:bottom w:val="single" w:color="auto" w:sz="8" w:space="0"/>
              <w:right w:val="single" w:color="auto" w:sz="8" w:space="0"/>
            </w:tcBorders>
            <w:noWrap w:val="0"/>
            <w:vAlign w:val="center"/>
          </w:tcPr>
          <w:p w14:paraId="73A558E2">
            <w:pPr>
              <w:jc w:val="both"/>
              <w:rPr>
                <w:rFonts w:hint="eastAsia" w:ascii="Times New Roman" w:hAnsi="Times New Roman" w:cs="宋体"/>
                <w:smallCaps w:val="0"/>
                <w:color w:val="auto"/>
                <w:kern w:val="0"/>
                <w:sz w:val="21"/>
                <w:szCs w:val="21"/>
              </w:rPr>
            </w:pPr>
          </w:p>
        </w:tc>
        <w:tc>
          <w:tcPr>
            <w:tcW w:w="991" w:type="dxa"/>
            <w:tcBorders>
              <w:top w:val="single" w:color="auto" w:sz="8" w:space="0"/>
              <w:left w:val="nil"/>
              <w:bottom w:val="single" w:color="auto" w:sz="8" w:space="0"/>
              <w:right w:val="single" w:color="auto" w:sz="8" w:space="0"/>
            </w:tcBorders>
            <w:noWrap w:val="0"/>
            <w:vAlign w:val="center"/>
          </w:tcPr>
          <w:p w14:paraId="1B05517C">
            <w:pPr>
              <w:jc w:val="both"/>
              <w:rPr>
                <w:rFonts w:hint="eastAsia" w:ascii="Times New Roman" w:hAnsi="Times New Roman" w:cs="宋体"/>
                <w:smallCaps w:val="0"/>
                <w:color w:val="auto"/>
                <w:kern w:val="0"/>
                <w:sz w:val="21"/>
                <w:szCs w:val="21"/>
              </w:rPr>
            </w:pPr>
          </w:p>
        </w:tc>
        <w:tc>
          <w:tcPr>
            <w:tcW w:w="1153" w:type="dxa"/>
            <w:tcBorders>
              <w:top w:val="single" w:color="auto" w:sz="8" w:space="0"/>
              <w:left w:val="nil"/>
              <w:bottom w:val="single" w:color="auto" w:sz="8" w:space="0"/>
              <w:right w:val="single" w:color="auto" w:sz="8" w:space="0"/>
            </w:tcBorders>
            <w:noWrap w:val="0"/>
            <w:vAlign w:val="center"/>
          </w:tcPr>
          <w:p w14:paraId="52CE5078">
            <w:pPr>
              <w:jc w:val="both"/>
              <w:rPr>
                <w:rFonts w:hint="eastAsia" w:ascii="Times New Roman" w:hAnsi="Times New Roman" w:cs="宋体"/>
                <w:smallCaps w:val="0"/>
                <w:color w:val="auto"/>
                <w:kern w:val="0"/>
                <w:sz w:val="21"/>
                <w:szCs w:val="21"/>
              </w:rPr>
            </w:pPr>
          </w:p>
        </w:tc>
      </w:tr>
      <w:tr w14:paraId="4CAECE61">
        <w:tblPrEx>
          <w:tblCellMar>
            <w:top w:w="0" w:type="dxa"/>
            <w:left w:w="108" w:type="dxa"/>
            <w:bottom w:w="0" w:type="dxa"/>
            <w:right w:w="108" w:type="dxa"/>
          </w:tblCellMar>
        </w:tblPrEx>
        <w:trPr>
          <w:trHeight w:val="454" w:hRule="atLeast"/>
          <w:jc w:val="center"/>
        </w:trPr>
        <w:tc>
          <w:tcPr>
            <w:tcW w:w="1831" w:type="dxa"/>
            <w:tcBorders>
              <w:top w:val="nil"/>
              <w:left w:val="single" w:color="auto" w:sz="8" w:space="0"/>
              <w:bottom w:val="single" w:color="auto" w:sz="8" w:space="0"/>
              <w:right w:val="single" w:color="auto" w:sz="4" w:space="0"/>
            </w:tcBorders>
            <w:noWrap w:val="0"/>
            <w:vAlign w:val="center"/>
          </w:tcPr>
          <w:p w14:paraId="426C0009">
            <w:pPr>
              <w:jc w:val="both"/>
              <w:rPr>
                <w:rFonts w:hint="eastAsia" w:ascii="Times New Roman" w:hAnsi="Times New Roman" w:cs="宋体"/>
                <w:smallCaps w:val="0"/>
                <w:color w:val="auto"/>
                <w:kern w:val="0"/>
                <w:sz w:val="21"/>
                <w:szCs w:val="21"/>
              </w:rPr>
            </w:pPr>
            <w:r>
              <w:rPr>
                <w:rFonts w:hint="eastAsia" w:ascii="Times New Roman" w:hAnsi="Times New Roman" w:cs="宋体"/>
                <w:smallCaps w:val="0"/>
                <w:color w:val="auto"/>
                <w:kern w:val="0"/>
                <w:sz w:val="21"/>
                <w:szCs w:val="21"/>
              </w:rPr>
              <w:t>合同总价</w:t>
            </w:r>
          </w:p>
        </w:tc>
        <w:tc>
          <w:tcPr>
            <w:tcW w:w="6955" w:type="dxa"/>
            <w:gridSpan w:val="6"/>
            <w:tcBorders>
              <w:top w:val="nil"/>
              <w:left w:val="single" w:color="auto" w:sz="4" w:space="0"/>
              <w:bottom w:val="single" w:color="auto" w:sz="8" w:space="0"/>
              <w:right w:val="single" w:color="auto" w:sz="8" w:space="0"/>
            </w:tcBorders>
            <w:noWrap w:val="0"/>
            <w:vAlign w:val="center"/>
          </w:tcPr>
          <w:p w14:paraId="4EABD5D5">
            <w:pPr>
              <w:jc w:val="both"/>
              <w:rPr>
                <w:rFonts w:hint="eastAsia" w:ascii="Times New Roman" w:hAnsi="Times New Roman" w:cs="宋体"/>
                <w:smallCaps w:val="0"/>
                <w:color w:val="auto"/>
                <w:kern w:val="0"/>
                <w:sz w:val="21"/>
                <w:szCs w:val="21"/>
              </w:rPr>
            </w:pPr>
            <w:r>
              <w:rPr>
                <w:rFonts w:hint="eastAsia" w:ascii="Times New Roman" w:hAnsi="Times New Roman" w:cs="宋体"/>
                <w:b/>
                <w:bCs/>
                <w:smallCaps w:val="0"/>
                <w:color w:val="auto"/>
                <w:sz w:val="21"/>
                <w:szCs w:val="21"/>
                <w:lang w:bidi="ar"/>
              </w:rPr>
              <w:t>人民币金额（大写）：                       ¥：</w:t>
            </w:r>
          </w:p>
        </w:tc>
      </w:tr>
    </w:tbl>
    <w:p w14:paraId="4C8A050A">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2．以上价款以人民币进行结算。该价款为固定价，已包含货款、系统集成、运输、装卸、安装、调试、</w:t>
      </w:r>
      <w:r>
        <w:rPr>
          <w:rFonts w:hint="eastAsia" w:cs="宋体"/>
          <w:smallCaps w:val="0"/>
          <w:color w:val="auto"/>
          <w:sz w:val="24"/>
          <w:lang w:val="en-US" w:eastAsia="zh-CN"/>
        </w:rPr>
        <w:t>保险、</w:t>
      </w:r>
      <w:r>
        <w:rPr>
          <w:rFonts w:hint="eastAsia" w:ascii="Times New Roman" w:hAnsi="Times New Roman" w:cs="宋体"/>
          <w:smallCaps w:val="0"/>
          <w:color w:val="auto"/>
          <w:sz w:val="24"/>
        </w:rPr>
        <w:t xml:space="preserve">培训、利润、税收、各种代理费等一切费用。 </w:t>
      </w:r>
    </w:p>
    <w:p w14:paraId="442751C4">
      <w:pPr>
        <w:spacing w:line="400" w:lineRule="exact"/>
        <w:ind w:firstLine="480" w:firstLineChars="200"/>
        <w:jc w:val="both"/>
        <w:rPr>
          <w:rFonts w:hint="eastAsia" w:ascii="黑体" w:hAnsi="黑体" w:eastAsia="黑体" w:cs="黑体"/>
          <w:b w:val="0"/>
          <w:bCs/>
          <w:smallCaps w:val="0"/>
          <w:color w:val="auto"/>
          <w:sz w:val="24"/>
          <w:lang w:val="en-US" w:eastAsia="zh-CN"/>
        </w:rPr>
      </w:pPr>
      <w:r>
        <w:rPr>
          <w:rFonts w:hint="eastAsia" w:ascii="黑体" w:hAnsi="黑体" w:eastAsia="黑体" w:cs="黑体"/>
          <w:b w:val="0"/>
          <w:bCs/>
          <w:smallCaps w:val="0"/>
          <w:color w:val="auto"/>
          <w:sz w:val="24"/>
        </w:rPr>
        <w:t>第二条  交货时间、地点及</w:t>
      </w:r>
      <w:r>
        <w:rPr>
          <w:rFonts w:hint="eastAsia" w:ascii="黑体" w:hAnsi="黑体" w:eastAsia="黑体" w:cs="黑体"/>
          <w:b w:val="0"/>
          <w:bCs/>
          <w:smallCaps w:val="0"/>
          <w:color w:val="auto"/>
          <w:sz w:val="24"/>
          <w:lang w:val="en-US" w:eastAsia="zh-CN"/>
        </w:rPr>
        <w:t>有关要求</w:t>
      </w:r>
    </w:p>
    <w:p w14:paraId="163C75EC">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乙方应当在</w:t>
      </w:r>
      <w:r>
        <w:rPr>
          <w:rFonts w:hint="eastAsia" w:ascii="Times New Roman" w:hAnsi="Times New Roman" w:cs="宋体"/>
          <w:smallCaps w:val="0"/>
          <w:color w:val="auto"/>
          <w:kern w:val="0"/>
          <w:sz w:val="24"/>
          <w:u w:val="single"/>
        </w:rPr>
        <w:t>___</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_</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________</w:t>
      </w:r>
      <w:r>
        <w:rPr>
          <w:rFonts w:hint="eastAsia" w:ascii="Times New Roman" w:hAnsi="Times New Roman" w:cs="宋体"/>
          <w:smallCaps w:val="0"/>
          <w:color w:val="auto"/>
          <w:kern w:val="0"/>
          <w:sz w:val="24"/>
        </w:rPr>
        <w:t>前将货物交付到甲方指定位置</w:t>
      </w:r>
      <w:r>
        <w:rPr>
          <w:rFonts w:hint="eastAsia" w:cs="宋体"/>
          <w:smallCaps w:val="0"/>
          <w:color w:val="auto"/>
          <w:kern w:val="0"/>
          <w:sz w:val="24"/>
          <w:lang w:val="en-US" w:eastAsia="zh-CN"/>
        </w:rPr>
        <w:t>且安装到位</w:t>
      </w:r>
      <w:r>
        <w:rPr>
          <w:rFonts w:hint="eastAsia" w:cs="宋体"/>
          <w:smallCaps w:val="0"/>
          <w:color w:val="auto"/>
          <w:kern w:val="0"/>
          <w:sz w:val="24"/>
          <w:lang w:eastAsia="zh-CN"/>
        </w:rPr>
        <w:t>，</w:t>
      </w:r>
      <w:r>
        <w:rPr>
          <w:rFonts w:hint="eastAsia" w:cs="宋体"/>
          <w:smallCaps w:val="0"/>
          <w:color w:val="auto"/>
          <w:kern w:val="0"/>
          <w:sz w:val="24"/>
          <w:lang w:val="en-US" w:eastAsia="zh-CN"/>
        </w:rPr>
        <w:t>并负责落实以下交货约定：</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_______________________</w:t>
      </w:r>
      <w:r>
        <w:rPr>
          <w:rFonts w:hint="eastAsia" w:cs="宋体"/>
          <w:smallCaps w:val="0"/>
          <w:color w:val="auto"/>
          <w:kern w:val="0"/>
          <w:sz w:val="24"/>
          <w:lang w:eastAsia="zh-CN"/>
        </w:rPr>
        <w:t>。</w:t>
      </w:r>
    </w:p>
    <w:p w14:paraId="0D97E4B4">
      <w:pPr>
        <w:spacing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第三条  履约保证金（若有）</w:t>
      </w:r>
    </w:p>
    <w:p w14:paraId="0B0604B7">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1.乙方须于合同签订后5个工作日内向甲方支付合同总价</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w:t>
      </w:r>
      <w:r>
        <w:rPr>
          <w:rFonts w:hint="eastAsia" w:ascii="Times New Roman" w:hAnsi="Times New Roman" w:cs="宋体"/>
          <w:smallCaps w:val="0"/>
          <w:color w:val="auto"/>
          <w:kern w:val="0"/>
          <w:sz w:val="24"/>
        </w:rPr>
        <w:t xml:space="preserve"> 的履约保证金，共计人民币</w:t>
      </w:r>
      <w:r>
        <w:rPr>
          <w:rFonts w:hint="eastAsia" w:ascii="Times New Roman" w:hAnsi="Times New Roman" w:cs="宋体"/>
          <w:smallCaps w:val="0"/>
          <w:color w:val="auto"/>
          <w:kern w:val="0"/>
          <w:sz w:val="24"/>
          <w:u w:val="single"/>
        </w:rPr>
        <w:t>¥         元</w:t>
      </w:r>
      <w:r>
        <w:rPr>
          <w:rFonts w:hint="eastAsia" w:ascii="Times New Roman" w:hAnsi="Times New Roman" w:cs="宋体"/>
          <w:smallCaps w:val="0"/>
          <w:color w:val="auto"/>
          <w:kern w:val="0"/>
          <w:sz w:val="24"/>
        </w:rPr>
        <w:t xml:space="preserve"> 。履约保证金在货物安装调试完毕验收合格后，如无质量、服务投诉和索赔等违约情形的，该款项于项目验收结束后7个工作日内无息退还。</w:t>
      </w:r>
    </w:p>
    <w:p w14:paraId="0438EAE0">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2.提交方式：</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转账</w:t>
      </w:r>
      <w:r>
        <w:rPr>
          <w:rFonts w:hint="eastAsia" w:cs="宋体"/>
          <w:smallCaps w:val="0"/>
          <w:color w:val="auto"/>
          <w:kern w:val="0"/>
          <w:sz w:val="24"/>
          <w:lang w:eastAsia="zh-CN"/>
        </w:rPr>
        <w:t>；</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银行、保险公司等金融机构、担保机构出具的保函等非现金形式。</w:t>
      </w:r>
    </w:p>
    <w:p w14:paraId="71DF517A">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第四条  货物包装、发运、运输及交付</w:t>
      </w:r>
    </w:p>
    <w:p w14:paraId="1FEDBA73">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1．乙方应在货物发运前对其进行满足运输距离、防潮、防震、防锈和防破损装卸等要求包装，以保证货物安全运达甲方指定地点。</w:t>
      </w:r>
    </w:p>
    <w:p w14:paraId="77FCB801">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2．货物在规定的交付期限内由乙方送达甲方指定的位置并在验收合格办理相关手续后视为交付。</w:t>
      </w:r>
    </w:p>
    <w:p w14:paraId="70BC2F6E">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3．乙方应保证交付的货物是全新、未使用过的、进货渠道合法的原装合格正品，并完全符合合同规定的质量、规格和性能的要求。若技术性能无特殊说明，则按国家有关部门最新颁布的标准及规范为准。</w:t>
      </w:r>
    </w:p>
    <w:p w14:paraId="0A3D04DB">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4．交付货物时乙方必须向甲方提供产品说明书、质量保证书、保修卡等必须具备的相关资料和必备的附件。</w:t>
      </w:r>
    </w:p>
    <w:p w14:paraId="06B5468A">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5</w:t>
      </w:r>
      <w:r>
        <w:rPr>
          <w:rFonts w:hint="eastAsia" w:ascii="Times New Roman" w:hAnsi="Times New Roman" w:cs="宋体"/>
          <w:smallCaps w:val="0"/>
          <w:color w:val="auto"/>
          <w:kern w:val="0"/>
          <w:lang w:eastAsia="zh-CN"/>
        </w:rPr>
        <w:t>.</w:t>
      </w:r>
      <w:r>
        <w:rPr>
          <w:rFonts w:hint="eastAsia" w:ascii="Times New Roman" w:hAnsi="Times New Roman" w:cs="宋体"/>
          <w:smallCaps w:val="0"/>
          <w:color w:val="auto"/>
          <w:kern w:val="0"/>
          <w:lang w:val="en-US" w:eastAsia="zh-CN"/>
        </w:rPr>
        <w:t xml:space="preserve"> </w:t>
      </w:r>
      <w:r>
        <w:rPr>
          <w:rFonts w:hint="eastAsia" w:ascii="Times New Roman" w:hAnsi="Times New Roman" w:cs="宋体"/>
          <w:smallCaps w:val="0"/>
          <w:color w:val="auto"/>
          <w:kern w:val="0"/>
        </w:rPr>
        <w:t>货物在交付甲方前发生的一切风险（包括运输、安装、调试等过程中发生的人身、货物安全问题）均由乙方负责。</w:t>
      </w:r>
    </w:p>
    <w:p w14:paraId="05F7FBE2">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五</w:t>
      </w:r>
      <w:r>
        <w:rPr>
          <w:rFonts w:hint="eastAsia" w:ascii="黑体" w:hAnsi="黑体" w:eastAsia="黑体" w:cs="黑体"/>
          <w:b w:val="0"/>
          <w:bCs/>
          <w:smallCaps w:val="0"/>
          <w:color w:val="auto"/>
          <w:sz w:val="24"/>
        </w:rPr>
        <w:t>条  验收时间、标准</w:t>
      </w:r>
    </w:p>
    <w:p w14:paraId="628AA7BB">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1.</w:t>
      </w:r>
      <w:r>
        <w:rPr>
          <w:rFonts w:hint="eastAsia" w:ascii="Times New Roman" w:hAnsi="Times New Roman" w:cs="宋体"/>
          <w:smallCaps w:val="0"/>
          <w:color w:val="auto"/>
          <w:kern w:val="0"/>
          <w:lang w:val="en-US" w:eastAsia="zh-CN"/>
        </w:rPr>
        <w:t xml:space="preserve"> </w:t>
      </w:r>
      <w:r>
        <w:rPr>
          <w:rFonts w:hint="eastAsia" w:ascii="Times New Roman" w:hAnsi="Times New Roman" w:cs="宋体"/>
          <w:smallCaps w:val="0"/>
          <w:color w:val="auto"/>
          <w:kern w:val="0"/>
        </w:rPr>
        <w:t>甲方应当在乙方到货并安装调试完毕后及时对货物进行验收。</w:t>
      </w:r>
    </w:p>
    <w:p w14:paraId="3C8B84E9">
      <w:pPr>
        <w:pStyle w:val="8"/>
        <w:snapToGrid w:val="0"/>
        <w:spacing w:beforeLines="0" w:afterLines="0" w:line="400" w:lineRule="exact"/>
        <w:ind w:firstLine="480" w:firstLineChars="200"/>
        <w:jc w:val="both"/>
        <w:rPr>
          <w:rFonts w:hint="eastAsia" w:ascii="Times New Roman" w:hAnsi="Times New Roman" w:cs="宋体"/>
          <w:smallCaps w:val="0"/>
          <w:color w:val="auto"/>
          <w:kern w:val="0"/>
          <w:lang w:val="en-US" w:eastAsia="zh-CN"/>
        </w:rPr>
      </w:pPr>
      <w:r>
        <w:rPr>
          <w:rFonts w:hint="eastAsia" w:ascii="Times New Roman" w:hAnsi="Times New Roman" w:cs="宋体"/>
          <w:smallCaps w:val="0"/>
          <w:color w:val="auto"/>
          <w:kern w:val="0"/>
          <w:lang w:val="en-US" w:eastAsia="zh-CN"/>
        </w:rPr>
        <w:t>2. 甲方组织验收小组按国家有关规定、规范进行验收，必要时邀请相关的专业人员或机构参与验收。在验收过程中发现质量、数量、规格、服务等与合同要求不符等问题，应当场提出、责令整改，同时依照本合同约定，追究违约供应商的法律责任。</w:t>
      </w:r>
    </w:p>
    <w:p w14:paraId="49F37E16">
      <w:pPr>
        <w:pStyle w:val="8"/>
        <w:snapToGrid w:val="0"/>
        <w:spacing w:beforeLines="0" w:afterLines="0" w:line="400" w:lineRule="exact"/>
        <w:ind w:firstLine="480" w:firstLineChars="200"/>
        <w:jc w:val="both"/>
        <w:rPr>
          <w:rFonts w:hint="default" w:ascii="Times New Roman" w:hAnsi="Times New Roman" w:cs="宋体"/>
          <w:smallCaps w:val="0"/>
          <w:color w:val="auto"/>
          <w:kern w:val="0"/>
          <w:lang w:val="en-US" w:eastAsia="zh-CN"/>
        </w:rPr>
      </w:pPr>
      <w:r>
        <w:rPr>
          <w:rFonts w:hint="eastAsia" w:ascii="Times New Roman" w:hAnsi="Times New Roman" w:cs="宋体"/>
          <w:smallCaps w:val="0"/>
          <w:color w:val="auto"/>
          <w:kern w:val="0"/>
          <w:lang w:val="en-US" w:eastAsia="zh-CN"/>
        </w:rPr>
        <w:t>验收不合格的，乙方应负责重新提供达到本合同约定的质量要求的设备。如乙方在履行合同中存在弄虚作假、以次充好等不良行为，将拒绝通过验收，由此引起的一切后果及损失由乙方承担。</w:t>
      </w:r>
    </w:p>
    <w:p w14:paraId="2118C092">
      <w:pPr>
        <w:pStyle w:val="8"/>
        <w:numPr>
          <w:ilvl w:val="0"/>
          <w:numId w:val="1"/>
        </w:numPr>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交付验收标准依次序对照适用标准为：①符合中华人民共和国国家安全质量标准、环保标准或行业标准；②符合招标文件和响应承诺中甲方认可的合理最佳配置、参数及各项要求</w:t>
      </w:r>
      <w:r>
        <w:rPr>
          <w:rFonts w:hint="eastAsia" w:ascii="Times New Roman" w:hAnsi="Times New Roman" w:cs="宋体"/>
          <w:smallCaps w:val="0"/>
          <w:color w:val="auto"/>
          <w:kern w:val="0"/>
          <w:lang w:eastAsia="zh-CN"/>
        </w:rPr>
        <w:t>；</w:t>
      </w:r>
      <w:r>
        <w:rPr>
          <w:rFonts w:hint="eastAsia" w:ascii="Times New Roman" w:hAnsi="Times New Roman" w:cs="宋体"/>
          <w:smallCaps w:val="0"/>
          <w:color w:val="auto"/>
          <w:kern w:val="0"/>
        </w:rPr>
        <w:t>③投标时递交的样品（</w:t>
      </w:r>
      <w:r>
        <w:rPr>
          <w:rFonts w:hint="eastAsia" w:ascii="Times New Roman" w:hAnsi="Times New Roman" w:cs="宋体"/>
          <w:smallCaps w:val="0"/>
          <w:color w:val="auto"/>
          <w:kern w:val="0"/>
          <w:lang w:val="en-US" w:eastAsia="zh-CN"/>
        </w:rPr>
        <w:t>若</w:t>
      </w:r>
      <w:r>
        <w:rPr>
          <w:rFonts w:hint="eastAsia" w:ascii="Times New Roman" w:hAnsi="Times New Roman" w:cs="宋体"/>
          <w:smallCaps w:val="0"/>
          <w:color w:val="auto"/>
          <w:kern w:val="0"/>
        </w:rPr>
        <w:t>有）；④货物来源国官方标准。</w:t>
      </w:r>
    </w:p>
    <w:p w14:paraId="1D3E4569">
      <w:pPr>
        <w:pStyle w:val="8"/>
        <w:snapToGrid w:val="0"/>
        <w:spacing w:beforeLines="0" w:afterLines="0"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第六条  支付约定</w:t>
      </w:r>
    </w:p>
    <w:p w14:paraId="4F82B80A">
      <w:pPr>
        <w:widowControl/>
        <w:spacing w:line="400" w:lineRule="exact"/>
        <w:ind w:firstLine="480" w:firstLineChars="200"/>
        <w:jc w:val="both"/>
        <w:rPr>
          <w:rFonts w:hint="eastAsia" w:ascii="Times New Roman" w:hAnsi="Times New Roman" w:cs="宋体"/>
          <w:smallCaps w:val="0"/>
          <w:color w:val="auto"/>
          <w:kern w:val="0"/>
          <w:sz w:val="24"/>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付款项的全额发票，货物安装调试完毕且验收合格后，在提供其他符合甲方付款流程所需材料的前提下，甲方在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一次性付清</w:t>
      </w:r>
      <w:r>
        <w:rPr>
          <w:rFonts w:hint="eastAsia" w:ascii="Times New Roman" w:hAnsi="Times New Roman" w:cs="宋体"/>
          <w:smallCaps w:val="0"/>
          <w:color w:val="auto"/>
          <w:kern w:val="0"/>
          <w:sz w:val="24"/>
          <w:lang w:val="en-US" w:eastAsia="zh-CN"/>
        </w:rPr>
        <w:t>全部货款。</w:t>
      </w:r>
    </w:p>
    <w:p w14:paraId="110E26A6">
      <w:pPr>
        <w:widowControl/>
        <w:spacing w:line="400" w:lineRule="exact"/>
        <w:ind w:firstLine="480" w:firstLineChars="200"/>
        <w:jc w:val="both"/>
        <w:rPr>
          <w:rFonts w:hint="default"/>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付款项的全额发票，货物安装调试完毕且验收合格后，在提供其他符合甲方付款流程所需材料的前提下，甲方在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支付合同总价的</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，剩余</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待质保期结束后</w:t>
      </w:r>
      <w:r>
        <w:rPr>
          <w:rFonts w:hint="eastAsia" w:cs="宋体"/>
          <w:smallCaps w:val="0"/>
          <w:color w:val="auto"/>
          <w:kern w:val="0"/>
          <w:sz w:val="24"/>
          <w:lang w:val="en-US" w:eastAsia="zh-CN"/>
        </w:rPr>
        <w:t>一次性付清，不计利息。</w:t>
      </w:r>
    </w:p>
    <w:p w14:paraId="4736D37B">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付款项的全额发票，合同生效以及具备实施条件后7个工作日内，且乙方已向甲方提交银行、保险公司等金融机构出具的预付款保函的，甲方向乙方支付合同总价的</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rPr>
        <w:t>，货物安装调试完毕且验收合格后，在提供其他符合甲方付款流程所需材料的前提下，甲方在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个工作日内支付合同总价余款（扣除预付款）。</w:t>
      </w:r>
    </w:p>
    <w:p w14:paraId="0B6B30AD">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在签订合同时，乙方明确表示无需预付款或者主动要求降低预付款比例的，可降低预付款比例（预付款保函同步调整）。</w:t>
      </w:r>
    </w:p>
    <w:p w14:paraId="356B8966">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七</w:t>
      </w:r>
      <w:r>
        <w:rPr>
          <w:rFonts w:hint="eastAsia" w:ascii="黑体" w:hAnsi="黑体" w:eastAsia="黑体" w:cs="黑体"/>
          <w:b w:val="0"/>
          <w:bCs/>
          <w:smallCaps w:val="0"/>
          <w:color w:val="auto"/>
          <w:sz w:val="24"/>
        </w:rPr>
        <w:t xml:space="preserve">条 </w:t>
      </w:r>
      <w:r>
        <w:rPr>
          <w:rFonts w:hint="eastAsia" w:ascii="黑体" w:hAnsi="黑体" w:eastAsia="黑体" w:cs="黑体"/>
          <w:b w:val="0"/>
          <w:bCs/>
          <w:smallCaps w:val="0"/>
          <w:color w:val="auto"/>
          <w:sz w:val="24"/>
          <w:lang w:val="en-US" w:eastAsia="zh-CN"/>
        </w:rPr>
        <w:t xml:space="preserve"> </w:t>
      </w:r>
      <w:r>
        <w:rPr>
          <w:rFonts w:hint="eastAsia" w:ascii="黑体" w:hAnsi="黑体" w:eastAsia="黑体" w:cs="黑体"/>
          <w:b w:val="0"/>
          <w:bCs/>
          <w:smallCaps w:val="0"/>
          <w:color w:val="auto"/>
          <w:sz w:val="24"/>
        </w:rPr>
        <w:t>质保期、售后服务</w:t>
      </w:r>
    </w:p>
    <w:p w14:paraId="15B5CAF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bCs/>
          <w:smallCaps w:val="0"/>
          <w:color w:val="auto"/>
          <w:sz w:val="24"/>
        </w:rPr>
        <w:t>质保</w:t>
      </w:r>
      <w:r>
        <w:rPr>
          <w:rFonts w:hint="eastAsia" w:ascii="Times New Roman" w:hAnsi="Times New Roman" w:cs="宋体"/>
          <w:smallCaps w:val="0"/>
          <w:color w:val="auto"/>
          <w:sz w:val="24"/>
        </w:rPr>
        <w:t>期：乙方对所供货物提供质保期</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w:t>
      </w:r>
      <w:r>
        <w:rPr>
          <w:rFonts w:hint="eastAsia" w:ascii="Times New Roman" w:hAnsi="Times New Roman" w:cs="宋体"/>
          <w:smallCaps w:val="0"/>
          <w:color w:val="auto"/>
          <w:sz w:val="24"/>
        </w:rPr>
        <w:t>年（自验收合格之日起算）。</w:t>
      </w:r>
    </w:p>
    <w:p w14:paraId="60B43BDA">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w:t>
      </w:r>
      <w:r>
        <w:rPr>
          <w:rFonts w:hint="eastAsia" w:cs="宋体"/>
          <w:smallCaps w:val="0"/>
          <w:color w:val="auto"/>
          <w:sz w:val="24"/>
          <w:lang w:val="en-US" w:eastAsia="zh-CN"/>
        </w:rPr>
        <w:t xml:space="preserve"> </w:t>
      </w:r>
      <w:r>
        <w:rPr>
          <w:rFonts w:hint="eastAsia" w:ascii="Times New Roman" w:hAnsi="Times New Roman" w:cs="宋体"/>
          <w:smallCaps w:val="0"/>
          <w:color w:val="auto"/>
          <w:kern w:val="0"/>
          <w:sz w:val="24"/>
        </w:rPr>
        <w:t>售后服务：质保期内，乙方负责对其提供的货物进行维修和系统维护，不再收取任何费用。</w:t>
      </w:r>
      <w:r>
        <w:rPr>
          <w:rFonts w:hint="eastAsia" w:ascii="Times New Roman" w:hAnsi="Times New Roman" w:cs="宋体"/>
          <w:smallCaps w:val="0"/>
          <w:color w:val="auto"/>
          <w:sz w:val="24"/>
        </w:rPr>
        <w:t>甲方对整个售后服务过程进行监督，并针对乙方的售后服务偏离程度，酌情扣除相应额度的质保金。乙方提供的货物在质保期内因货物本身的质量问题发生故障，乙方应负责免费更换。对达不到技术要求者，根据实际情况，甲方可要求乙方按以下办法处理：</w:t>
      </w:r>
    </w:p>
    <w:p w14:paraId="660E77C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（1）更换：由乙方承担所发生的全部费用。</w:t>
      </w:r>
    </w:p>
    <w:p w14:paraId="525E4C7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（2）贬值处理：由甲乙双方协商定价。</w:t>
      </w:r>
    </w:p>
    <w:p w14:paraId="37166CC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（3）退货处理：乙方应退还甲方支付的合同款，同时应承担该货物的直接费用（运输、保险、检验、货款利息及银行手续费等）。</w:t>
      </w:r>
    </w:p>
    <w:p w14:paraId="7B0F96D7">
      <w:pPr>
        <w:spacing w:line="400" w:lineRule="exact"/>
        <w:ind w:firstLine="480" w:firstLineChars="200"/>
        <w:jc w:val="both"/>
        <w:rPr>
          <w:rFonts w:hint="eastAsia" w:ascii="Times New Roman" w:hAnsi="Times New Roman" w:cs="宋体"/>
          <w:b/>
          <w:smallCaps w:val="0"/>
          <w:color w:val="auto"/>
          <w:sz w:val="24"/>
        </w:rPr>
      </w:pPr>
      <w:r>
        <w:rPr>
          <w:rFonts w:hint="eastAsia" w:ascii="Times New Roman" w:hAnsi="Times New Roman" w:cs="宋体"/>
          <w:smallCaps w:val="0"/>
          <w:color w:val="auto"/>
          <w:sz w:val="24"/>
        </w:rPr>
        <w:t>售后服务承诺详见附件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51DCDD83">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八</w:t>
      </w:r>
      <w:r>
        <w:rPr>
          <w:rFonts w:hint="eastAsia" w:ascii="黑体" w:hAnsi="黑体" w:eastAsia="黑体" w:cs="黑体"/>
          <w:b w:val="0"/>
          <w:bCs/>
          <w:smallCaps w:val="0"/>
          <w:color w:val="auto"/>
          <w:sz w:val="24"/>
        </w:rPr>
        <w:t>条  权利保证</w:t>
      </w:r>
    </w:p>
    <w:p w14:paraId="713BD3D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乙方应保证甲方在使用该货物或其任何一部分时不被第三方提出侵犯其专利权、著作权、商标权或其他权利的起诉。一旦出现侵权，乙方应承担全部责任。</w:t>
      </w:r>
    </w:p>
    <w:p w14:paraId="4073B33D">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九</w:t>
      </w:r>
      <w:r>
        <w:rPr>
          <w:rFonts w:hint="eastAsia" w:ascii="黑体" w:hAnsi="黑体" w:eastAsia="黑体" w:cs="黑体"/>
          <w:b w:val="0"/>
          <w:bCs/>
          <w:smallCaps w:val="0"/>
          <w:color w:val="auto"/>
          <w:sz w:val="24"/>
        </w:rPr>
        <w:t>条  违约责任</w:t>
      </w:r>
    </w:p>
    <w:p w14:paraId="37F370CE">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甲方无正当理由拒绝接受货物的，甲方向乙方偿付拒绝接受货物价值总额的百分之五的违约金。</w:t>
      </w:r>
    </w:p>
    <w:p w14:paraId="71963118">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2．甲方无故逾期验收和办理货款支付手续的,甲方按逾期付款总额每日万分之三的标准向乙方支付违约金。</w:t>
      </w:r>
    </w:p>
    <w:p w14:paraId="0691F66B">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乙方逾期交付货物的，乙方应按逾期交付价值总额每日万分之三的标准向甲方支付违约金，由甲方从待付货款中直接扣除；逾期时间超过10个工作日仍不能交付的，甲方可解除本合同。</w:t>
      </w:r>
    </w:p>
    <w:p w14:paraId="7CF4F583">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4.</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w:t>
      </w:r>
      <w:r>
        <w:rPr>
          <w:rFonts w:hint="eastAsia" w:cs="宋体"/>
          <w:smallCaps w:val="0"/>
          <w:color w:val="auto"/>
          <w:sz w:val="24"/>
          <w:lang w:val="en-US" w:eastAsia="zh-CN"/>
        </w:rPr>
        <w:t>交付</w:t>
      </w:r>
      <w:r>
        <w:rPr>
          <w:rFonts w:hint="eastAsia" w:ascii="Times New Roman" w:hAnsi="Times New Roman" w:cs="宋体"/>
          <w:smallCaps w:val="0"/>
          <w:color w:val="auto"/>
          <w:sz w:val="24"/>
        </w:rPr>
        <w:t>的货物品种、型号、规格、技术参数、质量不符合合同及招标文件规定标准的，甲方有权拒绝接受该货物，可以要求乙方更换或者退货处理。若甲方要求更换，但乙方仍不能在双方约定期间内提供符合合同及招标文件规定标准的货物，甲方可单方解除本合同。若甲方要求退货的，同时可以直接解除本合同。</w:t>
      </w:r>
    </w:p>
    <w:p w14:paraId="25EA121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5.</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因乙方原因导致甲方解除合同的，乙方应向甲方支付合同总金额百分之五的违约金，如造成甲方损失超过违约金数额的，超出部分由乙方继续承担赔偿责任。</w:t>
      </w:r>
    </w:p>
    <w:p w14:paraId="442C3C8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6.</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 xml:space="preserve">赔偿责任范围还包括但不限于甲方因此支付的公证费、鉴定费、诉讼费、律师费等费用。 </w:t>
      </w:r>
    </w:p>
    <w:p w14:paraId="7DACA84A">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十</w:t>
      </w:r>
      <w:r>
        <w:rPr>
          <w:rFonts w:hint="eastAsia" w:ascii="黑体" w:hAnsi="黑体" w:eastAsia="黑体" w:cs="黑体"/>
          <w:b w:val="0"/>
          <w:bCs/>
          <w:smallCaps w:val="0"/>
          <w:color w:val="auto"/>
          <w:sz w:val="24"/>
        </w:rPr>
        <w:t>条  合同的转让</w:t>
      </w:r>
    </w:p>
    <w:p w14:paraId="2676D63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乙方不得擅自部分或全部转让其应履行的合同义务，否则，甲方视乙方擅自转让行为为违约行为，有权单方解除合同，</w:t>
      </w:r>
      <w:r>
        <w:rPr>
          <w:rFonts w:hint="eastAsia" w:cs="宋体"/>
          <w:smallCaps w:val="0"/>
          <w:color w:val="auto"/>
          <w:sz w:val="24"/>
          <w:lang w:val="en-US" w:eastAsia="zh-CN"/>
        </w:rPr>
        <w:t>并</w:t>
      </w:r>
      <w:r>
        <w:rPr>
          <w:rFonts w:hint="eastAsia" w:ascii="Times New Roman" w:hAnsi="Times New Roman" w:cs="宋体"/>
          <w:smallCaps w:val="0"/>
          <w:color w:val="auto"/>
          <w:sz w:val="24"/>
        </w:rPr>
        <w:t>追究乙方的违约责任。</w:t>
      </w:r>
    </w:p>
    <w:p w14:paraId="651E0978">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一</w:t>
      </w:r>
      <w:r>
        <w:rPr>
          <w:rFonts w:hint="eastAsia" w:ascii="黑体" w:hAnsi="黑体" w:eastAsia="黑体" w:cs="黑体"/>
          <w:b w:val="0"/>
          <w:bCs/>
          <w:smallCaps w:val="0"/>
          <w:color w:val="auto"/>
          <w:sz w:val="24"/>
        </w:rPr>
        <w:t>条  合同的组成及生效</w:t>
      </w:r>
    </w:p>
    <w:p w14:paraId="24081B4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招标文件、中标人的投标文件、有关变更补充文件以及评标过程中的澄清、承诺文件等及合同附件均是合同的重要组成部分</w:t>
      </w:r>
      <w:r>
        <w:rPr>
          <w:rFonts w:hint="eastAsia" w:cs="宋体"/>
          <w:smallCaps w:val="0"/>
          <w:color w:val="auto"/>
          <w:sz w:val="24"/>
          <w:lang w:eastAsia="zh-CN"/>
        </w:rPr>
        <w:t>，</w:t>
      </w:r>
      <w:r>
        <w:rPr>
          <w:rFonts w:hint="eastAsia" w:cs="宋体"/>
          <w:smallCaps w:val="0"/>
          <w:color w:val="auto"/>
          <w:sz w:val="24"/>
          <w:lang w:val="en-US" w:eastAsia="zh-CN"/>
        </w:rPr>
        <w:t>和</w:t>
      </w:r>
      <w:r>
        <w:rPr>
          <w:rFonts w:hint="eastAsia" w:ascii="Times New Roman" w:hAnsi="Times New Roman" w:cs="宋体"/>
          <w:smallCaps w:val="0"/>
          <w:color w:val="auto"/>
          <w:sz w:val="24"/>
        </w:rPr>
        <w:t>本合同均具有同等法律效力。</w:t>
      </w:r>
    </w:p>
    <w:p w14:paraId="4A38B164">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本合同经双方法定代表人或授权代表签字并加盖单位公章后生效。合同执行期内，甲乙双方均不得随意变更或解除合同。合同如有未尽事宜，须经双方共同协商，做出补充规定，补充规定与合同具有同等效力。</w:t>
      </w:r>
    </w:p>
    <w:p w14:paraId="799396E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w:t>
      </w:r>
      <w:r>
        <w:rPr>
          <w:rFonts w:hint="eastAsia" w:ascii="Times New Roman" w:hAnsi="Times New Roman" w:cs="宋体"/>
          <w:b/>
          <w:bCs/>
          <w:smallCaps w:val="0"/>
          <w:color w:val="auto"/>
          <w:sz w:val="24"/>
        </w:rPr>
        <w:t>壹式</w:t>
      </w:r>
      <w:r>
        <w:rPr>
          <w:rFonts w:hint="eastAsia" w:cs="宋体"/>
          <w:b/>
          <w:bCs/>
          <w:smallCaps w:val="0"/>
          <w:color w:val="auto"/>
          <w:sz w:val="24"/>
          <w:lang w:val="en-US" w:eastAsia="zh-CN"/>
        </w:rPr>
        <w:t>陆</w:t>
      </w:r>
      <w:r>
        <w:rPr>
          <w:rFonts w:hint="eastAsia" w:ascii="Times New Roman" w:hAnsi="Times New Roman" w:cs="宋体"/>
          <w:b/>
          <w:bCs/>
          <w:smallCaps w:val="0"/>
          <w:color w:val="auto"/>
          <w:sz w:val="24"/>
        </w:rPr>
        <w:t>份</w:t>
      </w:r>
      <w:r>
        <w:rPr>
          <w:rFonts w:hint="eastAsia" w:ascii="Times New Roman" w:hAnsi="Times New Roman" w:cs="宋体"/>
          <w:smallCaps w:val="0"/>
          <w:color w:val="auto"/>
          <w:sz w:val="24"/>
        </w:rPr>
        <w:t>，甲方执</w:t>
      </w:r>
      <w:r>
        <w:rPr>
          <w:rFonts w:hint="eastAsia" w:cs="宋体"/>
          <w:smallCaps w:val="0"/>
          <w:color w:val="auto"/>
          <w:sz w:val="24"/>
          <w:lang w:val="en-US" w:eastAsia="zh-CN"/>
        </w:rPr>
        <w:t>肆</w:t>
      </w:r>
      <w:r>
        <w:rPr>
          <w:rFonts w:hint="eastAsia" w:ascii="Times New Roman" w:hAnsi="Times New Roman" w:cs="宋体"/>
          <w:smallCaps w:val="0"/>
          <w:color w:val="auto"/>
          <w:sz w:val="24"/>
        </w:rPr>
        <w:t>份，乙方执</w:t>
      </w:r>
      <w:r>
        <w:rPr>
          <w:rFonts w:hint="eastAsia" w:cs="宋体"/>
          <w:smallCaps w:val="0"/>
          <w:color w:val="auto"/>
          <w:sz w:val="24"/>
          <w:lang w:val="en-US" w:eastAsia="zh-CN"/>
        </w:rPr>
        <w:t>贰</w:t>
      </w:r>
      <w:r>
        <w:rPr>
          <w:rFonts w:hint="eastAsia" w:ascii="Times New Roman" w:hAnsi="Times New Roman" w:cs="宋体"/>
          <w:smallCaps w:val="0"/>
          <w:color w:val="auto"/>
          <w:sz w:val="24"/>
        </w:rPr>
        <w:t>份。</w:t>
      </w:r>
    </w:p>
    <w:p w14:paraId="64E332FF">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二</w:t>
      </w:r>
      <w:r>
        <w:rPr>
          <w:rFonts w:hint="eastAsia" w:ascii="黑体" w:hAnsi="黑体" w:eastAsia="黑体" w:cs="黑体"/>
          <w:b w:val="0"/>
          <w:bCs/>
          <w:smallCaps w:val="0"/>
          <w:color w:val="auto"/>
          <w:sz w:val="24"/>
        </w:rPr>
        <w:t>条  不可抗力处理</w:t>
      </w:r>
    </w:p>
    <w:p w14:paraId="6D16055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任何一方由于不可抗力原因不能履行合同时，应在不可抗力事件结束后10日内向对方通报，以减轻可能给对方造成的损失，在取得有关机构的不可抗力证明或双方谅解确认后，由甲方决定是否延期履行或修订合同。由此造成的损失双方各自</w:t>
      </w:r>
      <w:r>
        <w:rPr>
          <w:rFonts w:hint="eastAsia" w:cs="宋体"/>
          <w:smallCaps w:val="0"/>
          <w:color w:val="auto"/>
          <w:sz w:val="24"/>
          <w:lang w:val="en-US" w:eastAsia="zh-CN"/>
        </w:rPr>
        <w:t>负责</w:t>
      </w:r>
      <w:r>
        <w:rPr>
          <w:rFonts w:hint="eastAsia" w:ascii="Times New Roman" w:hAnsi="Times New Roman" w:cs="宋体"/>
          <w:smallCaps w:val="0"/>
          <w:color w:val="auto"/>
          <w:sz w:val="24"/>
        </w:rPr>
        <w:t>。</w:t>
      </w:r>
    </w:p>
    <w:p w14:paraId="19AE011B">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三</w:t>
      </w:r>
      <w:r>
        <w:rPr>
          <w:rFonts w:hint="eastAsia" w:ascii="黑体" w:hAnsi="黑体" w:eastAsia="黑体" w:cs="黑体"/>
          <w:b w:val="0"/>
          <w:bCs/>
          <w:smallCaps w:val="0"/>
          <w:color w:val="auto"/>
          <w:sz w:val="24"/>
        </w:rPr>
        <w:t>条  合同争议的解决方式</w:t>
      </w:r>
    </w:p>
    <w:p w14:paraId="723D2A8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合同执行过程中发生的任何争议，先由双方协商解决，如双方不能通过友好协商解决，双方同意采取以下第</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种方式解决：</w:t>
      </w:r>
    </w:p>
    <w:p w14:paraId="5A5B2FE6">
      <w:pPr>
        <w:numPr>
          <w:ilvl w:val="0"/>
          <w:numId w:val="2"/>
        </w:num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向当地仲裁委员会申请仲裁。</w:t>
      </w:r>
    </w:p>
    <w:p w14:paraId="118B2CD9">
      <w:pPr>
        <w:numPr>
          <w:ilvl w:val="0"/>
          <w:numId w:val="2"/>
        </w:numPr>
        <w:spacing w:line="400" w:lineRule="exact"/>
        <w:ind w:left="0" w:leftChars="0"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w:t>
      </w:r>
      <w:r>
        <w:rPr>
          <w:rFonts w:hint="eastAsia" w:cs="宋体"/>
          <w:smallCaps w:val="0"/>
          <w:color w:val="auto"/>
          <w:sz w:val="24"/>
          <w:lang w:val="en-US" w:eastAsia="zh-CN"/>
        </w:rPr>
        <w:t>甲方所在地的人民</w:t>
      </w:r>
      <w:r>
        <w:rPr>
          <w:rFonts w:hint="eastAsia" w:ascii="Times New Roman" w:hAnsi="Times New Roman" w:cs="宋体"/>
          <w:smallCaps w:val="0"/>
          <w:color w:val="auto"/>
          <w:sz w:val="24"/>
        </w:rPr>
        <w:t>法院提出诉讼。</w:t>
      </w:r>
    </w:p>
    <w:p w14:paraId="01C09D98">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受理期间，双方应继续执行合同其余部分。</w:t>
      </w:r>
    </w:p>
    <w:p w14:paraId="664953CD">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四</w:t>
      </w:r>
      <w:r>
        <w:rPr>
          <w:rFonts w:hint="eastAsia" w:ascii="黑体" w:hAnsi="黑体" w:eastAsia="黑体" w:cs="黑体"/>
          <w:b w:val="0"/>
          <w:bCs/>
          <w:smallCaps w:val="0"/>
          <w:color w:val="auto"/>
          <w:sz w:val="24"/>
        </w:rPr>
        <w:t>条  其他约定</w:t>
      </w:r>
    </w:p>
    <w:p w14:paraId="32C0C338">
      <w:pPr>
        <w:spacing w:line="400" w:lineRule="exact"/>
        <w:ind w:firstLine="480" w:firstLineChars="200"/>
        <w:jc w:val="both"/>
        <w:rPr>
          <w:rFonts w:hint="eastAsia" w:ascii="Times New Roman" w:hAnsi="Times New Roman" w:cs="宋体"/>
          <w:smallCaps w:val="0"/>
          <w:color w:val="auto"/>
          <w:sz w:val="24"/>
          <w:u w:val="single"/>
        </w:rPr>
      </w:pPr>
      <w:r>
        <w:rPr>
          <w:rFonts w:hint="eastAsia" w:ascii="Times New Roman" w:hAnsi="Times New Roman" w:cs="宋体"/>
          <w:smallCaps w:val="0"/>
          <w:color w:val="auto"/>
          <w:sz w:val="24"/>
        </w:rPr>
        <w:t>其他约定详见附件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75675444">
      <w:pPr>
        <w:spacing w:line="400" w:lineRule="exact"/>
        <w:ind w:firstLine="480" w:firstLineChars="200"/>
        <w:jc w:val="both"/>
        <w:rPr>
          <w:rFonts w:hint="eastAsia" w:ascii="黑体" w:hAnsi="黑体" w:eastAsia="黑体" w:cs="黑体"/>
          <w:b w:val="0"/>
          <w:bCs/>
          <w:smallCaps w:val="0"/>
          <w:color w:val="auto"/>
          <w:sz w:val="24"/>
          <w:lang w:eastAsia="zh-CN"/>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五</w:t>
      </w:r>
      <w:r>
        <w:rPr>
          <w:rFonts w:hint="eastAsia" w:ascii="黑体" w:hAnsi="黑体" w:eastAsia="黑体" w:cs="黑体"/>
          <w:b w:val="0"/>
          <w:bCs/>
          <w:smallCaps w:val="0"/>
          <w:color w:val="auto"/>
          <w:sz w:val="24"/>
        </w:rPr>
        <w:t>条  本合同共有附件</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个，</w:t>
      </w:r>
      <w:r>
        <w:rPr>
          <w:rFonts w:hint="eastAsia" w:ascii="黑体" w:hAnsi="黑体" w:eastAsia="黑体" w:cs="黑体"/>
          <w:b w:val="0"/>
          <w:bCs/>
          <w:smallCaps w:val="0"/>
          <w:color w:val="auto"/>
          <w:sz w:val="24"/>
          <w:lang w:val="en-US" w:eastAsia="zh-CN"/>
        </w:rPr>
        <w:t>本合同总页数</w:t>
      </w:r>
      <w:r>
        <w:rPr>
          <w:rFonts w:hint="eastAsia" w:ascii="黑体" w:hAnsi="黑体" w:eastAsia="黑体" w:cs="黑体"/>
          <w:b w:val="0"/>
          <w:bCs/>
          <w:smallCaps w:val="0"/>
          <w:color w:val="auto"/>
          <w:sz w:val="24"/>
        </w:rPr>
        <w:t>共计</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页</w:t>
      </w:r>
      <w:r>
        <w:rPr>
          <w:rFonts w:hint="eastAsia" w:ascii="黑体" w:hAnsi="黑体" w:eastAsia="黑体" w:cs="黑体"/>
          <w:b w:val="0"/>
          <w:bCs/>
          <w:smallCaps w:val="0"/>
          <w:color w:val="auto"/>
          <w:sz w:val="24"/>
          <w:lang w:eastAsia="zh-CN"/>
        </w:rPr>
        <w:t>。</w:t>
      </w:r>
    </w:p>
    <w:p w14:paraId="699935FA">
      <w:pPr>
        <w:spacing w:line="400" w:lineRule="exact"/>
        <w:ind w:firstLine="480" w:firstLineChars="200"/>
        <w:jc w:val="left"/>
        <w:rPr>
          <w:rFonts w:hint="eastAsia" w:ascii="Times New Roman" w:hAnsi="Times New Roman" w:eastAsia="宋体" w:cs="宋体"/>
          <w:smallCaps w:val="0"/>
          <w:color w:val="auto"/>
          <w:sz w:val="24"/>
          <w:lang w:eastAsia="zh-CN"/>
        </w:rPr>
      </w:pPr>
      <w:r>
        <w:rPr>
          <w:rFonts w:hint="eastAsia" w:cs="宋体"/>
          <w:smallCaps w:val="0"/>
          <w:color w:val="auto"/>
          <w:sz w:val="24"/>
          <w:lang w:eastAsia="zh-CN"/>
        </w:rPr>
        <w:t>（</w:t>
      </w:r>
      <w:r>
        <w:rPr>
          <w:rFonts w:hint="eastAsia" w:cs="宋体"/>
          <w:smallCaps w:val="0"/>
          <w:color w:val="auto"/>
          <w:sz w:val="24"/>
          <w:lang w:val="en-US" w:eastAsia="zh-CN"/>
        </w:rPr>
        <w:t>以下无正文</w:t>
      </w:r>
      <w:r>
        <w:rPr>
          <w:rFonts w:hint="eastAsia" w:cs="宋体"/>
          <w:smallCaps w:val="0"/>
          <w:color w:val="auto"/>
          <w:sz w:val="24"/>
          <w:lang w:eastAsia="zh-CN"/>
        </w:rPr>
        <w:t>）</w:t>
      </w:r>
    </w:p>
    <w:p w14:paraId="646BF73A">
      <w:pPr>
        <w:pStyle w:val="2"/>
        <w:rPr>
          <w:rFonts w:hint="eastAsia" w:ascii="Times New Roman" w:hAnsi="Times New Roman" w:cs="宋体"/>
          <w:smallCaps w:val="0"/>
          <w:color w:val="auto"/>
          <w:sz w:val="24"/>
        </w:rPr>
      </w:pPr>
    </w:p>
    <w:p w14:paraId="01685768">
      <w:pPr>
        <w:pStyle w:val="2"/>
        <w:rPr>
          <w:rFonts w:hint="eastAsia" w:ascii="Times New Roman" w:hAnsi="Times New Roman" w:cs="宋体"/>
          <w:smallCaps w:val="0"/>
          <w:color w:val="auto"/>
          <w:sz w:val="24"/>
        </w:rPr>
      </w:pPr>
    </w:p>
    <w:p w14:paraId="2E7857B0">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rPr>
        <w:t xml:space="preserve">甲方（盖章）：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乙</w:t>
      </w:r>
      <w:r>
        <w:rPr>
          <w:rFonts w:hint="eastAsia" w:ascii="宋体" w:hAnsi="宋体" w:eastAsia="宋体"/>
          <w:sz w:val="24"/>
          <w:szCs w:val="24"/>
        </w:rPr>
        <w:t xml:space="preserve">方（盖章）： </w:t>
      </w:r>
    </w:p>
    <w:p w14:paraId="4D79EA3F">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14:paraId="1768F9F4">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法定代表人                            法定代表人</w:t>
      </w:r>
    </w:p>
    <w:p w14:paraId="20B7A7E8">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或授权代表（签字）：                   或授权代表（签字）：</w:t>
      </w:r>
    </w:p>
    <w:p w14:paraId="4DD8E713">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账户信息：</w:t>
      </w:r>
    </w:p>
    <w:p w14:paraId="0B04750A">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开户银行：</w:t>
      </w:r>
    </w:p>
    <w:p w14:paraId="02580977">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账号：</w:t>
      </w:r>
    </w:p>
    <w:p w14:paraId="4170AC3B">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lang w:val="en-US" w:eastAsia="zh-CN"/>
        </w:rPr>
        <w:t>联系电话：                            联系电话：</w:t>
      </w:r>
    </w:p>
    <w:p w14:paraId="3C22E4E0">
      <w:pPr>
        <w:keepNext w:val="0"/>
        <w:keepLines w:val="0"/>
        <w:pageBreakBefore w:val="0"/>
        <w:widowControl w:val="0"/>
        <w:kinsoku/>
        <w:wordWrap/>
        <w:overflowPunct/>
        <w:topLinePunct w:val="0"/>
        <w:autoSpaceDE/>
        <w:autoSpaceDN/>
        <w:bidi w:val="0"/>
        <w:adjustRightInd w:val="0"/>
        <w:snapToGrid w:val="0"/>
        <w:spacing w:line="480" w:lineRule="exact"/>
        <w:textAlignment w:val="auto"/>
      </w:pPr>
      <w:r>
        <w:rPr>
          <w:rFonts w:hint="eastAsia" w:ascii="宋体" w:hAnsi="宋体" w:eastAsia="宋体"/>
          <w:sz w:val="24"/>
          <w:szCs w:val="24"/>
          <w:lang w:val="en-US" w:eastAsia="zh-CN"/>
        </w:rPr>
        <w:t xml:space="preserve">时间：   年    月     日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时间：   年    月     日   </w:t>
      </w:r>
      <w:r>
        <w:rPr>
          <w:rFonts w:hint="eastAsia" w:ascii="宋体" w:hAnsi="宋体" w:eastAsia="宋体"/>
          <w:sz w:val="24"/>
          <w:szCs w:val="24"/>
        </w:rPr>
        <w:t xml:space="preserve">           </w:t>
      </w:r>
    </w:p>
    <w:sectPr>
      <w:footerReference r:id="rId3" w:type="default"/>
      <w:pgSz w:w="11906" w:h="16838"/>
      <w:pgMar w:top="1701"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F178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D2A6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D2A6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5F0B7"/>
    <w:multiLevelType w:val="singleLevel"/>
    <w:tmpl w:val="A405F0B7"/>
    <w:lvl w:ilvl="0" w:tentative="0">
      <w:start w:val="3"/>
      <w:numFmt w:val="decimal"/>
      <w:suff w:val="space"/>
      <w:lvlText w:val="%1."/>
      <w:lvlJc w:val="left"/>
    </w:lvl>
  </w:abstractNum>
  <w:abstractNum w:abstractNumId="1">
    <w:nsid w:val="198CC5B3"/>
    <w:multiLevelType w:val="singleLevel"/>
    <w:tmpl w:val="198CC5B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7C492DE8"/>
    <w:rsid w:val="015D3BE2"/>
    <w:rsid w:val="01FA1688"/>
    <w:rsid w:val="03776270"/>
    <w:rsid w:val="03D177E1"/>
    <w:rsid w:val="03ED5C1F"/>
    <w:rsid w:val="045F4DED"/>
    <w:rsid w:val="054F6A7F"/>
    <w:rsid w:val="07024AB1"/>
    <w:rsid w:val="0DF50A94"/>
    <w:rsid w:val="0E2E180A"/>
    <w:rsid w:val="13F84916"/>
    <w:rsid w:val="1AF220BF"/>
    <w:rsid w:val="1BCF2401"/>
    <w:rsid w:val="1D6031B8"/>
    <w:rsid w:val="1F7E34F3"/>
    <w:rsid w:val="23D42CAA"/>
    <w:rsid w:val="23EB58A6"/>
    <w:rsid w:val="26BE19EF"/>
    <w:rsid w:val="274D290A"/>
    <w:rsid w:val="28316D0D"/>
    <w:rsid w:val="2CD05FD9"/>
    <w:rsid w:val="2D083501"/>
    <w:rsid w:val="335B06CD"/>
    <w:rsid w:val="346C70C5"/>
    <w:rsid w:val="34D16D92"/>
    <w:rsid w:val="43F9776B"/>
    <w:rsid w:val="460D7E03"/>
    <w:rsid w:val="4A1420C3"/>
    <w:rsid w:val="4A8876B6"/>
    <w:rsid w:val="4AC04051"/>
    <w:rsid w:val="4BCA2872"/>
    <w:rsid w:val="501F0CE5"/>
    <w:rsid w:val="59A815C0"/>
    <w:rsid w:val="5FFC5A7B"/>
    <w:rsid w:val="647924D6"/>
    <w:rsid w:val="647F6413"/>
    <w:rsid w:val="66141D57"/>
    <w:rsid w:val="68E00D76"/>
    <w:rsid w:val="70577DED"/>
    <w:rsid w:val="730438B3"/>
    <w:rsid w:val="738270AF"/>
    <w:rsid w:val="743D1F28"/>
    <w:rsid w:val="76A742FA"/>
    <w:rsid w:val="77130569"/>
    <w:rsid w:val="78351AEE"/>
    <w:rsid w:val="79E4230F"/>
    <w:rsid w:val="7AA67393"/>
    <w:rsid w:val="7B593CB9"/>
    <w:rsid w:val="7C492DE8"/>
    <w:rsid w:val="7E91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next w:val="4"/>
    <w:autoRedefine/>
    <w:qFormat/>
    <w:uiPriority w:val="0"/>
    <w:pPr>
      <w:spacing w:line="200" w:lineRule="atLeast"/>
      <w:ind w:firstLine="301"/>
    </w:pPr>
    <w:rPr>
      <w:rFonts w:hint="eastAsia" w:ascii="宋体" w:hAnsi="Courier New"/>
      <w:spacing w:val="-4"/>
      <w:sz w:val="18"/>
      <w:szCs w:val="20"/>
    </w:rPr>
  </w:style>
  <w:style w:type="paragraph" w:styleId="4">
    <w:name w:val="envelope return"/>
    <w:basedOn w:val="1"/>
    <w:autoRedefine/>
    <w:semiHidden/>
    <w:qFormat/>
    <w:uiPriority w:val="99"/>
    <w:pPr>
      <w:snapToGrid w:val="0"/>
    </w:pPr>
    <w:rPr>
      <w:rFonts w:ascii="Arial" w:hAnsi="Arial" w:cs="Arial"/>
    </w:rPr>
  </w:style>
  <w:style w:type="paragraph" w:styleId="5">
    <w:name w:val="Body Text"/>
    <w:basedOn w:val="1"/>
    <w:next w:val="6"/>
    <w:autoRedefine/>
    <w:semiHidden/>
    <w:qFormat/>
    <w:uiPriority w:val="0"/>
    <w:pPr>
      <w:spacing w:after="120"/>
    </w:pPr>
  </w:style>
  <w:style w:type="paragraph" w:styleId="6">
    <w:name w:val="Body Text First Indent"/>
    <w:basedOn w:val="5"/>
    <w:next w:val="7"/>
    <w:autoRedefine/>
    <w:unhideWhenUsed/>
    <w:qFormat/>
    <w:uiPriority w:val="99"/>
    <w:pPr>
      <w:ind w:firstLine="420" w:firstLineChars="100"/>
    </w:pPr>
  </w:style>
  <w:style w:type="paragraph" w:styleId="7">
    <w:name w:val="Body Text Indent 3"/>
    <w:basedOn w:val="1"/>
    <w:autoRedefine/>
    <w:semiHidden/>
    <w:qFormat/>
    <w:uiPriority w:val="0"/>
    <w:pPr>
      <w:ind w:left="2" w:firstLine="628" w:firstLineChars="196"/>
    </w:pPr>
    <w:rPr>
      <w:rFonts w:ascii="Arial" w:hAnsi="Arial" w:eastAsia="仿宋_GB2312"/>
      <w:b/>
      <w:sz w:val="32"/>
      <w:lang w:bidi="he-IL"/>
    </w:rPr>
  </w:style>
  <w:style w:type="paragraph" w:styleId="8">
    <w:name w:val="Plain Text"/>
    <w:basedOn w:val="1"/>
    <w:autoRedefine/>
    <w:qFormat/>
    <w:uiPriority w:val="99"/>
    <w:pPr>
      <w:spacing w:beforeLines="50" w:afterLines="50" w:line="400" w:lineRule="atLeast"/>
    </w:pPr>
    <w:rPr>
      <w:rFonts w:ascii="宋体" w:hAnsi="Courier New"/>
      <w:sz w:val="24"/>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2953</Words>
  <Characters>3004</Characters>
  <Lines>0</Lines>
  <Paragraphs>0</Paragraphs>
  <TotalTime>0</TotalTime>
  <ScaleCrop>false</ScaleCrop>
  <LinksUpToDate>false</LinksUpToDate>
  <CharactersWithSpaces>3594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2024-05-20T05:27:00Z</dcterms:created>
  <dc:creator>小怪兽</dc:creator>
  <cp:lastModifiedBy>ATOM</cp:lastModifiedBy>
  <dcterms:modified xsi:type="dcterms:W3CDTF">2025-12-17T08:16:51Z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5051B40C1AD84874A18C43F123B8DEB1_13</vt:lpwstr>
  </property>
</Properties>
</file>